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E759E1" w:rsidRPr="00F31492">
        <w:trPr>
          <w:trHeight w:val="851"/>
        </w:trPr>
        <w:tc>
          <w:tcPr>
            <w:tcW w:w="1259" w:type="dxa"/>
            <w:tcBorders>
              <w:top w:val="nil"/>
              <w:left w:val="nil"/>
              <w:bottom w:val="single" w:sz="4" w:space="0" w:color="auto"/>
              <w:right w:val="nil"/>
            </w:tcBorders>
          </w:tcPr>
          <w:p w:rsidR="00E759E1" w:rsidRPr="00E759E1" w:rsidRDefault="00E759E1" w:rsidP="00E759E1">
            <w:pPr>
              <w:pStyle w:val="Heading2"/>
              <w:numPr>
                <w:ilvl w:val="0"/>
                <w:numId w:val="0"/>
              </w:numPr>
              <w:ind w:left="720"/>
              <w:rPr>
                <w:rStyle w:val="Emphasis"/>
                <w:lang w:val="en-GB"/>
              </w:rPr>
            </w:pPr>
          </w:p>
        </w:tc>
        <w:tc>
          <w:tcPr>
            <w:tcW w:w="2236" w:type="dxa"/>
            <w:tcBorders>
              <w:top w:val="nil"/>
              <w:left w:val="nil"/>
              <w:bottom w:val="single" w:sz="4" w:space="0" w:color="auto"/>
              <w:right w:val="nil"/>
            </w:tcBorders>
            <w:vAlign w:val="bottom"/>
          </w:tcPr>
          <w:p w:rsidR="00E759E1" w:rsidRPr="00F31492" w:rsidRDefault="00E759E1" w:rsidP="00E759E1">
            <w:pPr>
              <w:spacing w:after="80" w:line="300" w:lineRule="exact"/>
              <w:rPr>
                <w:sz w:val="28"/>
                <w:szCs w:val="28"/>
              </w:rPr>
            </w:pPr>
            <w:r w:rsidRPr="00F31492">
              <w:rPr>
                <w:sz w:val="28"/>
                <w:szCs w:val="28"/>
              </w:rPr>
              <w:t>United Nations</w:t>
            </w:r>
          </w:p>
        </w:tc>
        <w:tc>
          <w:tcPr>
            <w:tcW w:w="6144" w:type="dxa"/>
            <w:gridSpan w:val="2"/>
            <w:tcBorders>
              <w:top w:val="nil"/>
              <w:left w:val="nil"/>
              <w:bottom w:val="single" w:sz="4" w:space="0" w:color="auto"/>
              <w:right w:val="nil"/>
            </w:tcBorders>
            <w:vAlign w:val="bottom"/>
          </w:tcPr>
          <w:p w:rsidR="00E759E1" w:rsidRPr="00F31492" w:rsidRDefault="00E759E1" w:rsidP="00E759E1">
            <w:pPr>
              <w:jc w:val="right"/>
            </w:pPr>
            <w:r w:rsidRPr="00F31492">
              <w:rPr>
                <w:sz w:val="40"/>
              </w:rPr>
              <w:t>A</w:t>
            </w:r>
            <w:r w:rsidRPr="00F31492">
              <w:t>/HRC/</w:t>
            </w:r>
            <w:r>
              <w:t>29/23</w:t>
            </w:r>
          </w:p>
        </w:tc>
      </w:tr>
      <w:tr w:rsidR="00E759E1" w:rsidRPr="00F31492">
        <w:trPr>
          <w:trHeight w:val="2835"/>
        </w:trPr>
        <w:tc>
          <w:tcPr>
            <w:tcW w:w="1259" w:type="dxa"/>
            <w:tcBorders>
              <w:top w:val="single" w:sz="4" w:space="0" w:color="auto"/>
              <w:left w:val="nil"/>
              <w:bottom w:val="single" w:sz="12" w:space="0" w:color="auto"/>
              <w:right w:val="nil"/>
            </w:tcBorders>
          </w:tcPr>
          <w:p w:rsidR="00E759E1" w:rsidRPr="00F31492" w:rsidRDefault="00B411FC" w:rsidP="00E759E1">
            <w:pPr>
              <w:spacing w:before="120"/>
              <w:jc w:val="center"/>
            </w:pPr>
            <w:r>
              <w:rPr>
                <w:noProof/>
                <w:lang w:val="en-US"/>
              </w:rPr>
              <w:drawing>
                <wp:inline distT="0" distB="0" distL="0" distR="0">
                  <wp:extent cx="720090" cy="594360"/>
                  <wp:effectExtent l="19050" t="0" r="381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srcRect/>
                          <a:stretch>
                            <a:fillRect/>
                          </a:stretch>
                        </pic:blipFill>
                        <pic:spPr bwMode="auto">
                          <a:xfrm>
                            <a:off x="0" y="0"/>
                            <a:ext cx="720090" cy="594360"/>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rsidR="00E759E1" w:rsidRPr="00F31492" w:rsidRDefault="00E759E1" w:rsidP="00E759E1">
            <w:pPr>
              <w:spacing w:before="120" w:line="420" w:lineRule="exact"/>
              <w:rPr>
                <w:b/>
                <w:sz w:val="40"/>
                <w:szCs w:val="40"/>
              </w:rPr>
            </w:pPr>
            <w:r w:rsidRPr="00F31492">
              <w:rPr>
                <w:b/>
                <w:sz w:val="40"/>
                <w:szCs w:val="40"/>
              </w:rPr>
              <w:t>General Assembly</w:t>
            </w:r>
          </w:p>
        </w:tc>
        <w:tc>
          <w:tcPr>
            <w:tcW w:w="2930" w:type="dxa"/>
            <w:tcBorders>
              <w:top w:val="single" w:sz="4" w:space="0" w:color="auto"/>
              <w:left w:val="nil"/>
              <w:bottom w:val="single" w:sz="12" w:space="0" w:color="auto"/>
              <w:right w:val="nil"/>
            </w:tcBorders>
          </w:tcPr>
          <w:p w:rsidR="00E759E1" w:rsidRPr="00F31492" w:rsidRDefault="00E759E1" w:rsidP="00E759E1">
            <w:pPr>
              <w:spacing w:before="240" w:line="240" w:lineRule="exact"/>
            </w:pPr>
            <w:r w:rsidRPr="00F31492">
              <w:t>Distr.: General</w:t>
            </w:r>
          </w:p>
          <w:p w:rsidR="00E759E1" w:rsidRPr="00F31492" w:rsidRDefault="001E4EEA" w:rsidP="00E759E1">
            <w:pPr>
              <w:spacing w:line="240" w:lineRule="exact"/>
            </w:pPr>
            <w:r>
              <w:t>4</w:t>
            </w:r>
            <w:r w:rsidR="00ED6DC9">
              <w:t xml:space="preserve"> May</w:t>
            </w:r>
            <w:r w:rsidR="00E759E1">
              <w:t xml:space="preserve"> 2015</w:t>
            </w:r>
          </w:p>
          <w:p w:rsidR="00E759E1" w:rsidRPr="00F31492" w:rsidRDefault="00E759E1" w:rsidP="00E759E1">
            <w:pPr>
              <w:spacing w:line="240" w:lineRule="exact"/>
            </w:pPr>
          </w:p>
          <w:p w:rsidR="00E759E1" w:rsidRPr="00F31492" w:rsidRDefault="00E759E1" w:rsidP="00E759E1">
            <w:pPr>
              <w:spacing w:line="240" w:lineRule="exact"/>
            </w:pPr>
            <w:r w:rsidRPr="00F31492">
              <w:t>Original: English</w:t>
            </w:r>
          </w:p>
        </w:tc>
      </w:tr>
    </w:tbl>
    <w:p w:rsidR="00E759E1" w:rsidRDefault="00E759E1" w:rsidP="00E759E1">
      <w:pPr>
        <w:suppressAutoHyphens w:val="0"/>
        <w:autoSpaceDE w:val="0"/>
        <w:autoSpaceDN w:val="0"/>
        <w:adjustRightInd w:val="0"/>
        <w:spacing w:before="120" w:line="200" w:lineRule="atLeast"/>
        <w:rPr>
          <w:lang w:eastAsia="en-GB"/>
        </w:rPr>
      </w:pPr>
      <w:r w:rsidRPr="00F31492">
        <w:rPr>
          <w:b/>
          <w:bCs/>
          <w:sz w:val="24"/>
          <w:szCs w:val="24"/>
        </w:rPr>
        <w:t>Human Rights Council</w:t>
      </w:r>
      <w:r w:rsidRPr="00F31492">
        <w:rPr>
          <w:sz w:val="24"/>
          <w:szCs w:val="24"/>
        </w:rPr>
        <w:br/>
      </w:r>
      <w:r>
        <w:rPr>
          <w:b/>
          <w:bCs/>
        </w:rPr>
        <w:t xml:space="preserve">Twenty-ninth </w:t>
      </w:r>
      <w:r w:rsidRPr="00F31492">
        <w:rPr>
          <w:b/>
          <w:bCs/>
        </w:rPr>
        <w:t>session</w:t>
      </w:r>
      <w:r w:rsidRPr="00F31492">
        <w:br/>
      </w:r>
      <w:r w:rsidR="00163C0A">
        <w:rPr>
          <w:lang w:eastAsia="en-GB"/>
        </w:rPr>
        <w:t xml:space="preserve">Agenda items 2 and </w:t>
      </w:r>
      <w:r>
        <w:rPr>
          <w:lang w:eastAsia="en-GB"/>
        </w:rPr>
        <w:t>8</w:t>
      </w:r>
    </w:p>
    <w:p w:rsidR="00E759E1" w:rsidRDefault="00E759E1" w:rsidP="00E759E1">
      <w:pPr>
        <w:suppressAutoHyphens w:val="0"/>
        <w:autoSpaceDE w:val="0"/>
        <w:autoSpaceDN w:val="0"/>
        <w:adjustRightInd w:val="0"/>
        <w:spacing w:after="120" w:line="240" w:lineRule="auto"/>
        <w:rPr>
          <w:b/>
          <w:bCs/>
          <w:lang w:val="en-US" w:eastAsia="en-GB"/>
        </w:rPr>
      </w:pPr>
      <w:r w:rsidRPr="00D1010A">
        <w:rPr>
          <w:b/>
          <w:bCs/>
          <w:lang w:val="en-US" w:eastAsia="en-GB"/>
        </w:rPr>
        <w:t>Annual report of the United Nations High Commissioner</w:t>
      </w:r>
      <w:r>
        <w:rPr>
          <w:b/>
          <w:bCs/>
          <w:lang w:val="en-US" w:eastAsia="en-GB"/>
        </w:rPr>
        <w:br/>
      </w:r>
      <w:r w:rsidRPr="00D1010A">
        <w:rPr>
          <w:b/>
          <w:bCs/>
          <w:lang w:val="en-US" w:eastAsia="en-GB"/>
        </w:rPr>
        <w:t>for Human Rights and reports of the Office of the</w:t>
      </w:r>
      <w:r>
        <w:rPr>
          <w:b/>
          <w:bCs/>
          <w:lang w:val="en-US" w:eastAsia="en-GB"/>
        </w:rPr>
        <w:br/>
      </w:r>
      <w:r w:rsidRPr="00D1010A">
        <w:rPr>
          <w:b/>
          <w:bCs/>
          <w:lang w:val="en-US" w:eastAsia="en-GB"/>
        </w:rPr>
        <w:t>High Commissioner and the Secretary-General</w:t>
      </w:r>
    </w:p>
    <w:p w:rsidR="00E759E1" w:rsidRPr="00D43692" w:rsidRDefault="00E759E1" w:rsidP="00E759E1">
      <w:pPr>
        <w:suppressAutoHyphens w:val="0"/>
        <w:autoSpaceDE w:val="0"/>
        <w:autoSpaceDN w:val="0"/>
        <w:adjustRightInd w:val="0"/>
        <w:spacing w:line="240" w:lineRule="auto"/>
        <w:rPr>
          <w:b/>
          <w:bCs/>
          <w:lang w:eastAsia="en-GB"/>
        </w:rPr>
      </w:pPr>
      <w:r>
        <w:rPr>
          <w:b/>
          <w:bCs/>
          <w:lang w:val="en-US" w:eastAsia="en-GB"/>
        </w:rPr>
        <w:t>Follow-up to and implementation of the Vienna</w:t>
      </w:r>
      <w:r>
        <w:rPr>
          <w:b/>
          <w:bCs/>
          <w:lang w:val="en-US" w:eastAsia="en-GB"/>
        </w:rPr>
        <w:br/>
        <w:t>Declaration and Programme of Action</w:t>
      </w:r>
    </w:p>
    <w:p w:rsidR="00E759E1" w:rsidRPr="0091770C" w:rsidRDefault="00E759E1" w:rsidP="00E759E1">
      <w:pPr>
        <w:pStyle w:val="HChG"/>
        <w:rPr>
          <w:sz w:val="34"/>
          <w:szCs w:val="34"/>
        </w:rPr>
      </w:pPr>
      <w:r>
        <w:tab/>
      </w:r>
      <w:r>
        <w:tab/>
      </w:r>
      <w:r w:rsidRPr="00E44813">
        <w:t>Discrimination and violence against individuals based on their sexual orientation and gender identity</w:t>
      </w:r>
    </w:p>
    <w:p w:rsidR="00E759E1" w:rsidRDefault="00E759E1" w:rsidP="00E759E1">
      <w:pPr>
        <w:pStyle w:val="H1G"/>
      </w:pPr>
      <w:r>
        <w:tab/>
      </w:r>
      <w:r>
        <w:tab/>
      </w:r>
      <w:r w:rsidRPr="0095420E">
        <w:t>Report of the Office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tblPr>
      <w:tblGrid>
        <w:gridCol w:w="9637"/>
      </w:tblGrid>
      <w:tr w:rsidR="00E759E1">
        <w:trPr>
          <w:jc w:val="center"/>
        </w:trPr>
        <w:tc>
          <w:tcPr>
            <w:tcW w:w="9637" w:type="dxa"/>
            <w:shd w:val="clear" w:color="auto" w:fill="auto"/>
          </w:tcPr>
          <w:p w:rsidR="00E759E1" w:rsidRPr="006B374D" w:rsidRDefault="00E759E1" w:rsidP="00E759E1">
            <w:pPr>
              <w:spacing w:before="240" w:after="120"/>
              <w:ind w:left="255"/>
              <w:rPr>
                <w:i/>
                <w:sz w:val="24"/>
              </w:rPr>
            </w:pPr>
            <w:r w:rsidRPr="006B374D">
              <w:rPr>
                <w:i/>
                <w:sz w:val="24"/>
              </w:rPr>
              <w:t>Summary</w:t>
            </w:r>
          </w:p>
        </w:tc>
      </w:tr>
      <w:tr w:rsidR="00E759E1">
        <w:trPr>
          <w:jc w:val="center"/>
        </w:trPr>
        <w:tc>
          <w:tcPr>
            <w:tcW w:w="9637" w:type="dxa"/>
            <w:shd w:val="clear" w:color="auto" w:fill="auto"/>
          </w:tcPr>
          <w:p w:rsidR="00E759E1" w:rsidRDefault="00E759E1" w:rsidP="00E759E1">
            <w:pPr>
              <w:pStyle w:val="SingleTxtG"/>
            </w:pPr>
            <w:r w:rsidRPr="006B374D">
              <w:rPr>
                <w:rFonts w:eastAsia="Calibri"/>
              </w:rPr>
              <w:tab/>
            </w:r>
            <w:r w:rsidRPr="00BC53A7">
              <w:rPr>
                <w:rFonts w:eastAsia="Calibri"/>
              </w:rPr>
              <w:t xml:space="preserve">The present report is submitted </w:t>
            </w:r>
            <w:r w:rsidRPr="00E44813">
              <w:rPr>
                <w:rFonts w:eastAsia="Calibri"/>
              </w:rPr>
              <w:t xml:space="preserve">to the Human Rights Council pursuant to its resolution 27/32, in which the Council requested the </w:t>
            </w:r>
            <w:r>
              <w:rPr>
                <w:rFonts w:eastAsia="Calibri"/>
              </w:rPr>
              <w:t xml:space="preserve">United Nations </w:t>
            </w:r>
            <w:r w:rsidRPr="00E44813">
              <w:rPr>
                <w:rFonts w:eastAsia="Calibri"/>
              </w:rPr>
              <w:t xml:space="preserve">High Commissioner for Human Rights to update </w:t>
            </w:r>
            <w:r>
              <w:rPr>
                <w:rFonts w:eastAsia="Calibri"/>
              </w:rPr>
              <w:t>the report of the</w:t>
            </w:r>
            <w:r w:rsidRPr="00E44813">
              <w:rPr>
                <w:rFonts w:eastAsia="Calibri"/>
              </w:rPr>
              <w:t xml:space="preserve"> Office</w:t>
            </w:r>
            <w:r>
              <w:rPr>
                <w:rFonts w:eastAsia="Calibri"/>
              </w:rPr>
              <w:t xml:space="preserve"> of the High Commission</w:t>
            </w:r>
            <w:r w:rsidRPr="00E44813">
              <w:rPr>
                <w:rFonts w:eastAsia="Calibri"/>
              </w:rPr>
              <w:t xml:space="preserve"> on violence and discrimination against individuals based on their sexual orientation and gender identity (A/HRC/19/41).</w:t>
            </w:r>
          </w:p>
        </w:tc>
      </w:tr>
      <w:tr w:rsidR="00E759E1">
        <w:trPr>
          <w:jc w:val="center"/>
        </w:trPr>
        <w:tc>
          <w:tcPr>
            <w:tcW w:w="9637" w:type="dxa"/>
            <w:shd w:val="clear" w:color="auto" w:fill="auto"/>
          </w:tcPr>
          <w:p w:rsidR="00E759E1" w:rsidRDefault="00E759E1" w:rsidP="00E759E1"/>
        </w:tc>
      </w:tr>
    </w:tbl>
    <w:p w:rsidR="00E759E1" w:rsidRPr="0035771E" w:rsidRDefault="00B411FC" w:rsidP="00E759E1">
      <w:pPr>
        <w:spacing w:after="120"/>
        <w:rPr>
          <w:sz w:val="28"/>
          <w:lang w:val="fr-FR"/>
        </w:rPr>
      </w:pPr>
      <w:r>
        <w:rPr>
          <w:noProof/>
          <w:lang w:val="en-US"/>
        </w:rPr>
        <w:drawing>
          <wp:anchor distT="0" distB="0" distL="114300" distR="114300" simplePos="0" relativeHeight="251657728" behindDoc="0" locked="0" layoutInCell="1" allowOverlap="0">
            <wp:simplePos x="0" y="0"/>
            <wp:positionH relativeFrom="margin">
              <wp:posOffset>5492750</wp:posOffset>
            </wp:positionH>
            <wp:positionV relativeFrom="margin">
              <wp:posOffset>8029575</wp:posOffset>
            </wp:positionV>
            <wp:extent cx="636905" cy="636905"/>
            <wp:effectExtent l="19050" t="0" r="0" b="0"/>
            <wp:wrapNone/>
            <wp:docPr id="4" name="Picture 2" descr="http://undocs.org/m2/QRCode.ashx?DS=A/HRC/29/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3&amp;Size=2 &amp;Lang=E"/>
                    <pic:cNvPicPr>
                      <a:picLocks noChangeAspect="1" noChangeArrowheads="1"/>
                    </pic:cNvPicPr>
                  </pic:nvPicPr>
                  <pic:blipFill>
                    <a:blip r:embed="rId13"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00E759E1" w:rsidRPr="0035771E">
        <w:rPr>
          <w:vertAlign w:val="superscript"/>
          <w:lang w:val="fr-FR"/>
        </w:rPr>
        <w:br w:type="page"/>
      </w:r>
      <w:r w:rsidR="00E759E1" w:rsidRPr="0035771E">
        <w:rPr>
          <w:sz w:val="28"/>
          <w:lang w:val="fr-FR"/>
        </w:rPr>
        <w:lastRenderedPageBreak/>
        <w:t>Contents</w:t>
      </w:r>
    </w:p>
    <w:p w:rsidR="00E759E1" w:rsidRPr="0035771E" w:rsidRDefault="00E759E1" w:rsidP="00E759E1">
      <w:pPr>
        <w:tabs>
          <w:tab w:val="right" w:pos="8929"/>
          <w:tab w:val="right" w:pos="9638"/>
        </w:tabs>
        <w:spacing w:after="120"/>
        <w:ind w:left="283"/>
        <w:rPr>
          <w:lang w:val="fr-FR"/>
        </w:rPr>
      </w:pPr>
      <w:r w:rsidRPr="0035771E">
        <w:rPr>
          <w:i/>
          <w:sz w:val="18"/>
          <w:lang w:val="fr-FR"/>
        </w:rPr>
        <w:tab/>
        <w:t>Paragraphs</w:t>
      </w:r>
      <w:r w:rsidRPr="0035771E">
        <w:rPr>
          <w:i/>
          <w:sz w:val="18"/>
          <w:lang w:val="fr-FR"/>
        </w:rPr>
        <w:tab/>
        <w:t>Page</w:t>
      </w:r>
    </w:p>
    <w:p w:rsidR="00E759E1" w:rsidRPr="00023DDC" w:rsidRDefault="00E759E1" w:rsidP="00E759E1">
      <w:pPr>
        <w:tabs>
          <w:tab w:val="right" w:pos="850"/>
          <w:tab w:val="left" w:pos="1134"/>
          <w:tab w:val="left" w:pos="1559"/>
          <w:tab w:val="left" w:pos="1984"/>
          <w:tab w:val="left" w:leader="dot" w:pos="7654"/>
          <w:tab w:val="right" w:pos="8929"/>
          <w:tab w:val="right" w:pos="9638"/>
        </w:tabs>
        <w:spacing w:after="120"/>
      </w:pPr>
      <w:r w:rsidRPr="0035771E">
        <w:rPr>
          <w:lang w:val="fr-FR"/>
        </w:rPr>
        <w:tab/>
      </w:r>
      <w:r w:rsidRPr="00023DDC">
        <w:t>I.</w:t>
      </w:r>
      <w:r w:rsidRPr="00023DDC">
        <w:tab/>
        <w:t>Introduction</w:t>
      </w:r>
      <w:r w:rsidRPr="00023DDC">
        <w:tab/>
      </w:r>
      <w:r w:rsidRPr="00023DDC">
        <w:tab/>
        <w:t>1</w:t>
      </w:r>
      <w:r w:rsidR="00E04FE4" w:rsidRPr="00023DDC">
        <w:t xml:space="preserve"> – </w:t>
      </w:r>
      <w:r w:rsidRPr="00023DDC">
        <w:t>2</w:t>
      </w:r>
      <w:r w:rsidRPr="00023DDC">
        <w:tab/>
      </w:r>
      <w:r w:rsidR="00163C0A">
        <w:t>3</w:t>
      </w:r>
    </w:p>
    <w:p w:rsidR="00E759E1" w:rsidRPr="00023DDC" w:rsidRDefault="00E759E1" w:rsidP="00E759E1">
      <w:pPr>
        <w:tabs>
          <w:tab w:val="right" w:pos="850"/>
          <w:tab w:val="left" w:pos="1134"/>
          <w:tab w:val="left" w:pos="1559"/>
          <w:tab w:val="left" w:pos="1984"/>
          <w:tab w:val="left" w:leader="dot" w:pos="7654"/>
          <w:tab w:val="right" w:pos="8929"/>
          <w:tab w:val="right" w:pos="9638"/>
        </w:tabs>
        <w:spacing w:after="120"/>
      </w:pPr>
      <w:r w:rsidRPr="00023DDC">
        <w:tab/>
        <w:t>II.</w:t>
      </w:r>
      <w:r w:rsidRPr="00023DDC">
        <w:tab/>
        <w:t>Recent developments</w:t>
      </w:r>
      <w:r w:rsidRPr="00023DDC">
        <w:tab/>
      </w:r>
      <w:r w:rsidRPr="00023DDC">
        <w:tab/>
        <w:t>3</w:t>
      </w:r>
      <w:r w:rsidR="00E04FE4">
        <w:t xml:space="preserve"> </w:t>
      </w:r>
      <w:r w:rsidRPr="00023DDC">
        <w:t>–</w:t>
      </w:r>
      <w:r w:rsidR="00E04FE4">
        <w:t xml:space="preserve"> </w:t>
      </w:r>
      <w:r w:rsidRPr="00023DDC">
        <w:t>8</w:t>
      </w:r>
      <w:r w:rsidRPr="00023DDC">
        <w:tab/>
      </w:r>
      <w:r w:rsidR="00163C0A">
        <w:t>3</w:t>
      </w:r>
    </w:p>
    <w:p w:rsidR="00E759E1" w:rsidRPr="00023DDC" w:rsidRDefault="00E759E1" w:rsidP="00E759E1">
      <w:pPr>
        <w:tabs>
          <w:tab w:val="right" w:pos="850"/>
          <w:tab w:val="left" w:pos="1134"/>
          <w:tab w:val="left" w:pos="1559"/>
          <w:tab w:val="left" w:pos="1984"/>
          <w:tab w:val="left" w:leader="dot" w:pos="7654"/>
          <w:tab w:val="right" w:pos="8929"/>
          <w:tab w:val="right" w:pos="9638"/>
        </w:tabs>
        <w:spacing w:after="120"/>
      </w:pPr>
      <w:r w:rsidRPr="00023DDC">
        <w:tab/>
        <w:t>III.</w:t>
      </w:r>
      <w:r w:rsidRPr="00023DDC">
        <w:tab/>
        <w:t>Applicable international standards and obligations</w:t>
      </w:r>
      <w:r w:rsidRPr="00023DDC">
        <w:tab/>
      </w:r>
      <w:r w:rsidRPr="00023DDC">
        <w:tab/>
        <w:t>9</w:t>
      </w:r>
      <w:r w:rsidR="00E04FE4">
        <w:t xml:space="preserve"> </w:t>
      </w:r>
      <w:r w:rsidRPr="00023DDC">
        <w:t>–</w:t>
      </w:r>
      <w:r w:rsidR="00E04FE4">
        <w:t xml:space="preserve"> </w:t>
      </w:r>
      <w:r w:rsidRPr="00023DDC">
        <w:t>19</w:t>
      </w:r>
      <w:r w:rsidRPr="00023DDC">
        <w:tab/>
      </w:r>
      <w:r w:rsidR="00163C0A">
        <w:t>4</w:t>
      </w:r>
    </w:p>
    <w:p w:rsidR="00E759E1" w:rsidRPr="0035771E" w:rsidRDefault="00E759E1" w:rsidP="00E759E1">
      <w:pPr>
        <w:tabs>
          <w:tab w:val="right" w:pos="850"/>
          <w:tab w:val="left" w:pos="1134"/>
          <w:tab w:val="left" w:pos="1559"/>
          <w:tab w:val="left" w:pos="1984"/>
          <w:tab w:val="left" w:leader="dot" w:pos="7654"/>
          <w:tab w:val="right" w:pos="8929"/>
          <w:tab w:val="right" w:pos="9638"/>
        </w:tabs>
        <w:spacing w:after="120"/>
      </w:pPr>
      <w:r w:rsidRPr="00023DDC">
        <w:tab/>
      </w:r>
      <w:r w:rsidRPr="00023DDC">
        <w:tab/>
      </w:r>
      <w:r w:rsidRPr="0035771E">
        <w:t>A.</w:t>
      </w:r>
      <w:r w:rsidRPr="0035771E">
        <w:tab/>
      </w:r>
      <w:r w:rsidR="008074FA" w:rsidRPr="0035771E">
        <w:t>To p</w:t>
      </w:r>
      <w:r w:rsidRPr="0035771E">
        <w:t>rotect individuals from violence</w:t>
      </w:r>
      <w:r w:rsidRPr="0035771E">
        <w:tab/>
      </w:r>
      <w:r w:rsidRPr="0035771E">
        <w:tab/>
        <w:t>11</w:t>
      </w:r>
      <w:r w:rsidR="00E04FE4">
        <w:t xml:space="preserve"> </w:t>
      </w:r>
      <w:r w:rsidRPr="0035771E">
        <w:t>–</w:t>
      </w:r>
      <w:r w:rsidR="00E04FE4">
        <w:t xml:space="preserve"> </w:t>
      </w:r>
      <w:r w:rsidRPr="0035771E">
        <w:t>12</w:t>
      </w:r>
      <w:r w:rsidRPr="0035771E">
        <w:tab/>
      </w:r>
      <w:r w:rsidR="00163C0A">
        <w:t>5</w:t>
      </w:r>
    </w:p>
    <w:p w:rsidR="00E759E1" w:rsidRPr="0035771E" w:rsidRDefault="00E759E1" w:rsidP="00E759E1">
      <w:pPr>
        <w:tabs>
          <w:tab w:val="right" w:pos="850"/>
          <w:tab w:val="left" w:pos="1134"/>
          <w:tab w:val="left" w:pos="1559"/>
          <w:tab w:val="left" w:pos="1984"/>
          <w:tab w:val="left" w:leader="dot" w:pos="7654"/>
          <w:tab w:val="right" w:pos="8929"/>
          <w:tab w:val="right" w:pos="9638"/>
        </w:tabs>
        <w:spacing w:after="120"/>
      </w:pPr>
      <w:r w:rsidRPr="0035771E">
        <w:tab/>
      </w:r>
      <w:r w:rsidRPr="0035771E">
        <w:tab/>
        <w:t>B.</w:t>
      </w:r>
      <w:r w:rsidRPr="0035771E">
        <w:tab/>
      </w:r>
      <w:r w:rsidR="008074FA" w:rsidRPr="0035771E">
        <w:t>To p</w:t>
      </w:r>
      <w:r w:rsidRPr="0035771E">
        <w:t>revent torture and ill-treatment</w:t>
      </w:r>
      <w:r w:rsidRPr="0035771E">
        <w:tab/>
      </w:r>
      <w:r w:rsidRPr="0035771E">
        <w:tab/>
        <w:t>13</w:t>
      </w:r>
      <w:r w:rsidR="00BE6FAA">
        <w:t xml:space="preserve"> </w:t>
      </w:r>
      <w:r w:rsidRPr="0035771E">
        <w:t>–</w:t>
      </w:r>
      <w:r w:rsidR="00BE6FAA">
        <w:t xml:space="preserve"> </w:t>
      </w:r>
      <w:r w:rsidRPr="0035771E">
        <w:t>14</w:t>
      </w:r>
      <w:r w:rsidRPr="0035771E">
        <w:tab/>
      </w:r>
      <w:r w:rsidR="00163C0A">
        <w:t>5</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35771E">
        <w:tab/>
      </w:r>
      <w:r w:rsidRPr="0035771E">
        <w:tab/>
      </w:r>
      <w:r>
        <w:rPr>
          <w:lang w:val="en-US"/>
        </w:rPr>
        <w:t>C</w:t>
      </w:r>
      <w:r w:rsidRPr="00E53F2F">
        <w:rPr>
          <w:lang w:val="en-US"/>
        </w:rPr>
        <w:t>.</w:t>
      </w:r>
      <w:r w:rsidRPr="00E53F2F">
        <w:rPr>
          <w:lang w:val="en-US"/>
        </w:rPr>
        <w:tab/>
      </w:r>
      <w:r w:rsidR="008074FA">
        <w:rPr>
          <w:lang w:val="en-US"/>
        </w:rPr>
        <w:t>To d</w:t>
      </w:r>
      <w:r w:rsidRPr="005D2B8B">
        <w:rPr>
          <w:lang w:val="en-US"/>
        </w:rPr>
        <w:t xml:space="preserve">ecriminalize homosexuality and </w:t>
      </w:r>
      <w:r w:rsidR="008074FA">
        <w:rPr>
          <w:lang w:val="en-US"/>
        </w:rPr>
        <w:t xml:space="preserve">to </w:t>
      </w:r>
      <w:r w:rsidRPr="005D2B8B">
        <w:rPr>
          <w:lang w:val="en-US"/>
        </w:rPr>
        <w:t>r</w:t>
      </w:r>
      <w:r w:rsidR="00163C0A">
        <w:rPr>
          <w:lang w:val="en-US"/>
        </w:rPr>
        <w:t>epeal other laws used to punish</w:t>
      </w:r>
      <w:r w:rsidR="00163C0A">
        <w:rPr>
          <w:lang w:val="en-US"/>
        </w:rPr>
        <w:br/>
      </w:r>
      <w:r w:rsidR="00163C0A">
        <w:rPr>
          <w:lang w:val="en-US"/>
        </w:rPr>
        <w:tab/>
      </w:r>
      <w:r w:rsidR="00163C0A">
        <w:rPr>
          <w:lang w:val="en-US"/>
        </w:rPr>
        <w:tab/>
      </w:r>
      <w:r w:rsidR="00163C0A">
        <w:rPr>
          <w:lang w:val="en-US"/>
        </w:rPr>
        <w:tab/>
      </w:r>
      <w:r w:rsidR="008074FA">
        <w:rPr>
          <w:lang w:val="en-US"/>
        </w:rPr>
        <w:t>i</w:t>
      </w:r>
      <w:r w:rsidRPr="005D2B8B">
        <w:rPr>
          <w:lang w:val="en-US"/>
        </w:rPr>
        <w:t>ndividuals</w:t>
      </w:r>
      <w:r>
        <w:rPr>
          <w:lang w:val="en-US"/>
        </w:rPr>
        <w:t xml:space="preserve"> </w:t>
      </w:r>
      <w:r w:rsidRPr="005D2B8B">
        <w:rPr>
          <w:lang w:val="en-US"/>
        </w:rPr>
        <w:t>on the basis of sexual orientation and gender identity</w:t>
      </w:r>
      <w:r w:rsidRPr="00E53F2F">
        <w:rPr>
          <w:lang w:val="en-US"/>
        </w:rPr>
        <w:tab/>
      </w:r>
      <w:r w:rsidRPr="00E53F2F">
        <w:rPr>
          <w:lang w:val="en-US"/>
        </w:rPr>
        <w:tab/>
      </w:r>
      <w:r>
        <w:rPr>
          <w:lang w:val="en-US"/>
        </w:rPr>
        <w:t>15</w:t>
      </w:r>
      <w:r w:rsidRPr="00E53F2F">
        <w:rPr>
          <w:lang w:val="en-US"/>
        </w:rPr>
        <w:tab/>
      </w:r>
      <w:r w:rsidR="00163C0A">
        <w:rPr>
          <w:lang w:val="en-US"/>
        </w:rPr>
        <w:t>6</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6335CF">
        <w:rPr>
          <w:lang w:val="en-US"/>
        </w:rPr>
        <w:tab/>
      </w:r>
      <w:r w:rsidRPr="006335CF">
        <w:rPr>
          <w:lang w:val="en-US"/>
        </w:rPr>
        <w:tab/>
      </w:r>
      <w:r>
        <w:rPr>
          <w:lang w:val="en-US"/>
        </w:rPr>
        <w:t>D</w:t>
      </w:r>
      <w:r w:rsidRPr="006335CF">
        <w:rPr>
          <w:lang w:val="en-US"/>
        </w:rPr>
        <w:t>.</w:t>
      </w:r>
      <w:r w:rsidRPr="006335CF">
        <w:rPr>
          <w:lang w:val="en-US"/>
        </w:rPr>
        <w:tab/>
      </w:r>
      <w:r w:rsidR="008074FA">
        <w:rPr>
          <w:lang w:val="en-US"/>
        </w:rPr>
        <w:t>To p</w:t>
      </w:r>
      <w:r w:rsidRPr="005D2B8B">
        <w:rPr>
          <w:lang w:val="en-US"/>
        </w:rPr>
        <w:t>rotect individuals from discrimination o</w:t>
      </w:r>
      <w:r w:rsidR="00163C0A">
        <w:rPr>
          <w:lang w:val="en-US"/>
        </w:rPr>
        <w:t>n grounds of sexual orientation</w:t>
      </w:r>
      <w:r w:rsidR="00163C0A">
        <w:rPr>
          <w:lang w:val="en-US"/>
        </w:rPr>
        <w:br/>
      </w:r>
      <w:r w:rsidR="00163C0A">
        <w:rPr>
          <w:lang w:val="en-US"/>
        </w:rPr>
        <w:tab/>
      </w:r>
      <w:r w:rsidR="00163C0A">
        <w:rPr>
          <w:lang w:val="en-US"/>
        </w:rPr>
        <w:tab/>
      </w:r>
      <w:r w:rsidR="00163C0A">
        <w:rPr>
          <w:lang w:val="en-US"/>
        </w:rPr>
        <w:tab/>
      </w:r>
      <w:r w:rsidRPr="005D2B8B">
        <w:rPr>
          <w:lang w:val="en-US"/>
        </w:rPr>
        <w:t>and gender identity</w:t>
      </w:r>
      <w:r w:rsidRPr="006335CF">
        <w:rPr>
          <w:lang w:val="en-US"/>
        </w:rPr>
        <w:tab/>
      </w:r>
      <w:r w:rsidRPr="006335CF">
        <w:rPr>
          <w:lang w:val="en-US"/>
        </w:rPr>
        <w:tab/>
      </w:r>
      <w:r>
        <w:rPr>
          <w:lang w:val="en-US"/>
        </w:rPr>
        <w:t>16</w:t>
      </w:r>
      <w:r w:rsidR="00BE6FAA">
        <w:rPr>
          <w:lang w:val="en-US"/>
        </w:rPr>
        <w:t xml:space="preserve"> </w:t>
      </w:r>
      <w:r w:rsidRPr="007817DA">
        <w:rPr>
          <w:lang w:val="en-US"/>
        </w:rPr>
        <w:t>–</w:t>
      </w:r>
      <w:r w:rsidR="00BE6FAA">
        <w:rPr>
          <w:lang w:val="en-US"/>
        </w:rPr>
        <w:t xml:space="preserve"> </w:t>
      </w:r>
      <w:r>
        <w:rPr>
          <w:lang w:val="en-US"/>
        </w:rPr>
        <w:t>17</w:t>
      </w:r>
      <w:r w:rsidRPr="006335CF">
        <w:rPr>
          <w:lang w:val="en-US"/>
        </w:rPr>
        <w:tab/>
      </w:r>
      <w:r w:rsidR="00163C0A">
        <w:rPr>
          <w:lang w:val="en-US"/>
        </w:rPr>
        <w:t>6</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8F7641">
        <w:rPr>
          <w:lang w:val="en-US"/>
        </w:rPr>
        <w:tab/>
      </w:r>
      <w:r>
        <w:rPr>
          <w:lang w:val="en-US"/>
        </w:rPr>
        <w:tab/>
        <w:t>E</w:t>
      </w:r>
      <w:r w:rsidRPr="008F7641">
        <w:rPr>
          <w:lang w:val="en-US"/>
        </w:rPr>
        <w:t>.</w:t>
      </w:r>
      <w:r w:rsidRPr="008F7641">
        <w:rPr>
          <w:lang w:val="en-US"/>
        </w:rPr>
        <w:tab/>
      </w:r>
      <w:r w:rsidR="008074FA">
        <w:rPr>
          <w:lang w:val="en-US"/>
        </w:rPr>
        <w:t>To p</w:t>
      </w:r>
      <w:r w:rsidRPr="005D2B8B">
        <w:rPr>
          <w:lang w:val="en-US"/>
        </w:rPr>
        <w:t>rotect rights to freedom of expression, association</w:t>
      </w:r>
      <w:r w:rsidR="008074FA">
        <w:rPr>
          <w:lang w:val="en-US"/>
        </w:rPr>
        <w:t xml:space="preserve"> and</w:t>
      </w:r>
      <w:r w:rsidRPr="005D2B8B">
        <w:rPr>
          <w:lang w:val="en-US"/>
        </w:rPr>
        <w:t xml:space="preserve"> assemb</w:t>
      </w:r>
      <w:r w:rsidR="00163C0A">
        <w:rPr>
          <w:lang w:val="en-US"/>
        </w:rPr>
        <w:t>ly and to take</w:t>
      </w:r>
      <w:r w:rsidR="00163C0A">
        <w:rPr>
          <w:lang w:val="en-US"/>
        </w:rPr>
        <w:br/>
      </w:r>
      <w:r w:rsidR="00163C0A">
        <w:rPr>
          <w:lang w:val="en-US"/>
        </w:rPr>
        <w:tab/>
      </w:r>
      <w:r w:rsidR="00163C0A">
        <w:rPr>
          <w:lang w:val="en-US"/>
        </w:rPr>
        <w:tab/>
      </w:r>
      <w:r w:rsidR="00163C0A">
        <w:rPr>
          <w:lang w:val="en-US"/>
        </w:rPr>
        <w:tab/>
      </w:r>
      <w:r w:rsidRPr="005D2B8B">
        <w:rPr>
          <w:lang w:val="en-US"/>
        </w:rPr>
        <w:t>part in the conduct of public affairs</w:t>
      </w:r>
      <w:r w:rsidRPr="008F7641">
        <w:rPr>
          <w:lang w:val="en-US"/>
        </w:rPr>
        <w:tab/>
      </w:r>
      <w:r w:rsidRPr="008F7641">
        <w:rPr>
          <w:lang w:val="en-US"/>
        </w:rPr>
        <w:tab/>
      </w:r>
      <w:r>
        <w:rPr>
          <w:lang w:val="en-US"/>
        </w:rPr>
        <w:t>18</w:t>
      </w:r>
      <w:r w:rsidR="00BE6FAA">
        <w:rPr>
          <w:lang w:val="en-US"/>
        </w:rPr>
        <w:t xml:space="preserve"> </w:t>
      </w:r>
      <w:r w:rsidRPr="007817DA">
        <w:rPr>
          <w:lang w:val="en-US"/>
        </w:rPr>
        <w:t>–</w:t>
      </w:r>
      <w:r w:rsidR="00BE6FAA">
        <w:rPr>
          <w:lang w:val="en-US"/>
        </w:rPr>
        <w:t xml:space="preserve"> </w:t>
      </w:r>
      <w:r>
        <w:rPr>
          <w:lang w:val="en-US"/>
        </w:rPr>
        <w:t>19</w:t>
      </w:r>
      <w:r>
        <w:rPr>
          <w:lang w:val="en-US"/>
        </w:rPr>
        <w:tab/>
      </w:r>
      <w:r w:rsidR="00163C0A">
        <w:rPr>
          <w:lang w:val="en-US"/>
        </w:rPr>
        <w:t>7</w:t>
      </w:r>
    </w:p>
    <w:p w:rsidR="00E759E1" w:rsidRPr="00163C0A" w:rsidRDefault="00E759E1" w:rsidP="00E759E1">
      <w:pPr>
        <w:tabs>
          <w:tab w:val="right" w:pos="850"/>
          <w:tab w:val="left" w:pos="1134"/>
          <w:tab w:val="left" w:pos="1559"/>
          <w:tab w:val="left" w:pos="1984"/>
          <w:tab w:val="left" w:leader="dot" w:pos="7654"/>
          <w:tab w:val="right" w:pos="8929"/>
          <w:tab w:val="right" w:pos="9638"/>
        </w:tabs>
        <w:spacing w:after="120"/>
        <w:rPr>
          <w:lang w:val="fr-CH"/>
        </w:rPr>
      </w:pPr>
      <w:r w:rsidRPr="00494431">
        <w:tab/>
      </w:r>
      <w:r w:rsidRPr="00163C0A">
        <w:rPr>
          <w:lang w:val="fr-CH"/>
        </w:rPr>
        <w:t>IV.</w:t>
      </w:r>
      <w:r w:rsidRPr="00163C0A">
        <w:rPr>
          <w:lang w:val="fr-CH"/>
        </w:rPr>
        <w:tab/>
        <w:t>Homophobic and transphobic violence</w:t>
      </w:r>
      <w:r w:rsidRPr="00163C0A">
        <w:rPr>
          <w:lang w:val="fr-CH"/>
        </w:rPr>
        <w:tab/>
      </w:r>
      <w:r w:rsidRPr="00163C0A">
        <w:rPr>
          <w:lang w:val="fr-CH"/>
        </w:rPr>
        <w:tab/>
        <w:t>20</w:t>
      </w:r>
      <w:r w:rsidR="00FB4FCC" w:rsidRPr="00163C0A">
        <w:rPr>
          <w:lang w:val="fr-CH"/>
        </w:rPr>
        <w:t xml:space="preserve"> </w:t>
      </w:r>
      <w:r w:rsidRPr="00163C0A">
        <w:rPr>
          <w:lang w:val="fr-CH"/>
        </w:rPr>
        <w:t>–</w:t>
      </w:r>
      <w:r w:rsidR="00FB4FCC" w:rsidRPr="00163C0A">
        <w:rPr>
          <w:lang w:val="fr-CH"/>
        </w:rPr>
        <w:t xml:space="preserve"> </w:t>
      </w:r>
      <w:r w:rsidRPr="00163C0A">
        <w:rPr>
          <w:lang w:val="fr-CH"/>
        </w:rPr>
        <w:t>40</w:t>
      </w:r>
      <w:r w:rsidRPr="00163C0A">
        <w:rPr>
          <w:lang w:val="fr-CH"/>
        </w:rPr>
        <w:tab/>
      </w:r>
      <w:r w:rsidR="00163C0A" w:rsidRPr="00163C0A">
        <w:rPr>
          <w:lang w:val="fr-CH"/>
        </w:rPr>
        <w:t>7</w:t>
      </w:r>
    </w:p>
    <w:p w:rsidR="00E759E1" w:rsidRPr="00E53F2F"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163C0A">
        <w:rPr>
          <w:lang w:val="fr-CH"/>
        </w:rPr>
        <w:tab/>
      </w:r>
      <w:r w:rsidRPr="00163C0A">
        <w:rPr>
          <w:lang w:val="fr-CH"/>
        </w:rPr>
        <w:tab/>
      </w:r>
      <w:r>
        <w:rPr>
          <w:lang w:val="en-US"/>
        </w:rPr>
        <w:t>A</w:t>
      </w:r>
      <w:r w:rsidRPr="00E53F2F">
        <w:rPr>
          <w:lang w:val="en-US"/>
        </w:rPr>
        <w:t>.</w:t>
      </w:r>
      <w:r w:rsidRPr="00E53F2F">
        <w:rPr>
          <w:lang w:val="en-US"/>
        </w:rPr>
        <w:tab/>
      </w:r>
      <w:r>
        <w:rPr>
          <w:lang w:val="en-US"/>
        </w:rPr>
        <w:t>Context</w:t>
      </w:r>
      <w:r w:rsidRPr="00E53F2F">
        <w:rPr>
          <w:lang w:val="en-US"/>
        </w:rPr>
        <w:tab/>
      </w:r>
      <w:r w:rsidRPr="00E53F2F">
        <w:rPr>
          <w:lang w:val="en-US"/>
        </w:rPr>
        <w:tab/>
      </w:r>
      <w:r>
        <w:rPr>
          <w:lang w:val="en-US"/>
        </w:rPr>
        <w:t>20</w:t>
      </w:r>
      <w:r w:rsidR="00FB4FCC">
        <w:rPr>
          <w:lang w:val="en-US"/>
        </w:rPr>
        <w:t xml:space="preserve"> </w:t>
      </w:r>
      <w:r w:rsidRPr="006335CF">
        <w:rPr>
          <w:lang w:val="en-US"/>
        </w:rPr>
        <w:t>–</w:t>
      </w:r>
      <w:r w:rsidR="00FB4FCC">
        <w:rPr>
          <w:lang w:val="en-US"/>
        </w:rPr>
        <w:t xml:space="preserve"> </w:t>
      </w:r>
      <w:r>
        <w:rPr>
          <w:lang w:val="en-US"/>
        </w:rPr>
        <w:t>25</w:t>
      </w:r>
      <w:r w:rsidRPr="00E53F2F">
        <w:rPr>
          <w:lang w:val="en-US"/>
        </w:rPr>
        <w:tab/>
      </w:r>
      <w:r w:rsidR="00163C0A">
        <w:rPr>
          <w:lang w:val="en-US"/>
        </w:rPr>
        <w:t>7</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E53F2F">
        <w:rPr>
          <w:lang w:val="en-US"/>
        </w:rPr>
        <w:tab/>
      </w:r>
      <w:r w:rsidRPr="00E53F2F">
        <w:rPr>
          <w:lang w:val="en-US"/>
        </w:rPr>
        <w:tab/>
      </w:r>
      <w:r>
        <w:rPr>
          <w:lang w:val="en-US"/>
        </w:rPr>
        <w:t>B</w:t>
      </w:r>
      <w:r w:rsidRPr="00E53F2F">
        <w:rPr>
          <w:lang w:val="en-US"/>
        </w:rPr>
        <w:t>.</w:t>
      </w:r>
      <w:r w:rsidRPr="00E53F2F">
        <w:rPr>
          <w:lang w:val="en-US"/>
        </w:rPr>
        <w:tab/>
      </w:r>
      <w:r>
        <w:rPr>
          <w:lang w:val="en-US"/>
        </w:rPr>
        <w:t>Killings</w:t>
      </w:r>
      <w:r w:rsidRPr="00E53F2F">
        <w:rPr>
          <w:lang w:val="en-US"/>
        </w:rPr>
        <w:tab/>
      </w:r>
      <w:r w:rsidRPr="00E53F2F">
        <w:rPr>
          <w:lang w:val="en-US"/>
        </w:rPr>
        <w:tab/>
      </w:r>
      <w:r>
        <w:rPr>
          <w:lang w:val="en-US"/>
        </w:rPr>
        <w:t>26</w:t>
      </w:r>
      <w:r w:rsidR="00FB4FCC">
        <w:rPr>
          <w:lang w:val="en-US"/>
        </w:rPr>
        <w:t xml:space="preserve"> </w:t>
      </w:r>
      <w:r w:rsidRPr="007817DA">
        <w:rPr>
          <w:lang w:val="en-US"/>
        </w:rPr>
        <w:t>–</w:t>
      </w:r>
      <w:r w:rsidR="00FB4FCC">
        <w:rPr>
          <w:lang w:val="en-US"/>
        </w:rPr>
        <w:t xml:space="preserve"> </w:t>
      </w:r>
      <w:r>
        <w:rPr>
          <w:lang w:val="en-US"/>
        </w:rPr>
        <w:t>30</w:t>
      </w:r>
      <w:r w:rsidRPr="00E53F2F">
        <w:rPr>
          <w:lang w:val="en-US"/>
        </w:rPr>
        <w:tab/>
      </w:r>
      <w:r w:rsidR="00163C0A">
        <w:rPr>
          <w:lang w:val="en-US"/>
        </w:rPr>
        <w:t>8</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C</w:t>
      </w:r>
      <w:r w:rsidRPr="00E53F2F">
        <w:rPr>
          <w:lang w:val="en-US"/>
        </w:rPr>
        <w:t>.</w:t>
      </w:r>
      <w:r w:rsidRPr="00E53F2F">
        <w:rPr>
          <w:lang w:val="en-US"/>
        </w:rPr>
        <w:tab/>
      </w:r>
      <w:r>
        <w:rPr>
          <w:lang w:val="en-US"/>
        </w:rPr>
        <w:t>Other violence, including sexual violence</w:t>
      </w:r>
      <w:r w:rsidRPr="00E53F2F">
        <w:rPr>
          <w:lang w:val="en-US"/>
        </w:rPr>
        <w:tab/>
      </w:r>
      <w:r w:rsidRPr="00E53F2F">
        <w:rPr>
          <w:lang w:val="en-US"/>
        </w:rPr>
        <w:tab/>
      </w:r>
      <w:r>
        <w:rPr>
          <w:lang w:val="en-US"/>
        </w:rPr>
        <w:t>31</w:t>
      </w:r>
      <w:r w:rsidR="00FB4FCC">
        <w:rPr>
          <w:lang w:val="en-US"/>
        </w:rPr>
        <w:t xml:space="preserve"> </w:t>
      </w:r>
      <w:r w:rsidRPr="007817DA">
        <w:rPr>
          <w:lang w:val="en-US"/>
        </w:rPr>
        <w:t>–</w:t>
      </w:r>
      <w:r w:rsidR="00FB4FCC">
        <w:rPr>
          <w:lang w:val="en-US"/>
        </w:rPr>
        <w:t xml:space="preserve"> </w:t>
      </w:r>
      <w:r>
        <w:rPr>
          <w:lang w:val="en-US"/>
        </w:rPr>
        <w:t>33</w:t>
      </w:r>
      <w:r w:rsidRPr="00E53F2F">
        <w:rPr>
          <w:lang w:val="en-US"/>
        </w:rPr>
        <w:tab/>
      </w:r>
      <w:r w:rsidR="00163C0A">
        <w:rPr>
          <w:lang w:val="en-US"/>
        </w:rPr>
        <w:t>9</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6335CF">
        <w:rPr>
          <w:lang w:val="en-US"/>
        </w:rPr>
        <w:tab/>
      </w:r>
      <w:r w:rsidRPr="006335CF">
        <w:rPr>
          <w:lang w:val="en-US"/>
        </w:rPr>
        <w:tab/>
      </w:r>
      <w:r>
        <w:rPr>
          <w:lang w:val="en-US"/>
        </w:rPr>
        <w:t>D</w:t>
      </w:r>
      <w:r w:rsidRPr="006335CF">
        <w:rPr>
          <w:lang w:val="en-US"/>
        </w:rPr>
        <w:t>.</w:t>
      </w:r>
      <w:r w:rsidRPr="006335CF">
        <w:rPr>
          <w:lang w:val="en-US"/>
        </w:rPr>
        <w:tab/>
      </w:r>
      <w:r>
        <w:rPr>
          <w:lang w:val="en-US"/>
        </w:rPr>
        <w:t>Torture and ill-treatment</w:t>
      </w:r>
      <w:r w:rsidRPr="006335CF">
        <w:rPr>
          <w:lang w:val="en-US"/>
        </w:rPr>
        <w:tab/>
      </w:r>
      <w:r w:rsidRPr="006335CF">
        <w:rPr>
          <w:lang w:val="en-US"/>
        </w:rPr>
        <w:tab/>
      </w:r>
      <w:r>
        <w:rPr>
          <w:lang w:val="en-US"/>
        </w:rPr>
        <w:t>34</w:t>
      </w:r>
      <w:r w:rsidR="00FB4FCC">
        <w:rPr>
          <w:lang w:val="en-US"/>
        </w:rPr>
        <w:t xml:space="preserve"> </w:t>
      </w:r>
      <w:r w:rsidRPr="007817DA">
        <w:rPr>
          <w:lang w:val="en-US"/>
        </w:rPr>
        <w:t>–</w:t>
      </w:r>
      <w:r w:rsidR="00FB4FCC">
        <w:rPr>
          <w:lang w:val="en-US"/>
        </w:rPr>
        <w:t xml:space="preserve"> </w:t>
      </w:r>
      <w:r>
        <w:rPr>
          <w:lang w:val="en-US"/>
        </w:rPr>
        <w:t>38</w:t>
      </w:r>
      <w:r w:rsidRPr="006335CF">
        <w:rPr>
          <w:lang w:val="en-US"/>
        </w:rPr>
        <w:tab/>
      </w:r>
      <w:r w:rsidR="00163C0A">
        <w:rPr>
          <w:lang w:val="en-US"/>
        </w:rPr>
        <w:t>10</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8F7641">
        <w:rPr>
          <w:lang w:val="en-US"/>
        </w:rPr>
        <w:tab/>
      </w:r>
      <w:r>
        <w:rPr>
          <w:lang w:val="en-US"/>
        </w:rPr>
        <w:tab/>
        <w:t>E</w:t>
      </w:r>
      <w:r w:rsidRPr="008F7641">
        <w:rPr>
          <w:lang w:val="en-US"/>
        </w:rPr>
        <w:t>.</w:t>
      </w:r>
      <w:r w:rsidRPr="008F7641">
        <w:rPr>
          <w:lang w:val="en-US"/>
        </w:rPr>
        <w:tab/>
      </w:r>
      <w:r>
        <w:rPr>
          <w:lang w:val="en-US"/>
        </w:rPr>
        <w:t>Positive developments since 2011</w:t>
      </w:r>
      <w:r w:rsidRPr="008F7641">
        <w:rPr>
          <w:lang w:val="en-US"/>
        </w:rPr>
        <w:tab/>
      </w:r>
      <w:r w:rsidRPr="008F7641">
        <w:rPr>
          <w:lang w:val="en-US"/>
        </w:rPr>
        <w:tab/>
      </w:r>
      <w:r>
        <w:rPr>
          <w:lang w:val="en-US"/>
        </w:rPr>
        <w:t>39</w:t>
      </w:r>
      <w:r w:rsidR="00FB4FCC">
        <w:rPr>
          <w:lang w:val="en-US"/>
        </w:rPr>
        <w:t xml:space="preserve"> </w:t>
      </w:r>
      <w:r w:rsidRPr="007817DA">
        <w:rPr>
          <w:lang w:val="en-US"/>
        </w:rPr>
        <w:t>–</w:t>
      </w:r>
      <w:r w:rsidR="00FB4FCC">
        <w:rPr>
          <w:lang w:val="en-US"/>
        </w:rPr>
        <w:t xml:space="preserve"> </w:t>
      </w:r>
      <w:r>
        <w:rPr>
          <w:lang w:val="en-US"/>
        </w:rPr>
        <w:t>40</w:t>
      </w:r>
      <w:r>
        <w:rPr>
          <w:lang w:val="en-US"/>
        </w:rPr>
        <w:tab/>
      </w:r>
      <w:r w:rsidR="00163C0A">
        <w:rPr>
          <w:lang w:val="en-US"/>
        </w:rPr>
        <w:t>11</w:t>
      </w:r>
    </w:p>
    <w:p w:rsidR="00E759E1" w:rsidRDefault="00E759E1" w:rsidP="00E759E1">
      <w:pPr>
        <w:tabs>
          <w:tab w:val="right" w:pos="850"/>
          <w:tab w:val="left" w:pos="1134"/>
          <w:tab w:val="left" w:pos="1559"/>
          <w:tab w:val="left" w:pos="1984"/>
          <w:tab w:val="left" w:leader="dot" w:pos="7654"/>
          <w:tab w:val="right" w:pos="8929"/>
          <w:tab w:val="right" w:pos="9638"/>
        </w:tabs>
        <w:spacing w:after="120"/>
      </w:pPr>
      <w:r>
        <w:tab/>
        <w:t>V.</w:t>
      </w:r>
      <w:r>
        <w:tab/>
        <w:t>Discrimination</w:t>
      </w:r>
      <w:r w:rsidRPr="00494431">
        <w:tab/>
      </w:r>
      <w:r w:rsidRPr="00494431">
        <w:tab/>
      </w:r>
      <w:r>
        <w:t>41</w:t>
      </w:r>
      <w:r w:rsidR="00FB4FCC">
        <w:t xml:space="preserve"> </w:t>
      </w:r>
      <w:r w:rsidRPr="00494431">
        <w:t>–</w:t>
      </w:r>
      <w:r w:rsidR="00FB4FCC">
        <w:t xml:space="preserve"> </w:t>
      </w:r>
      <w:r>
        <w:t>75</w:t>
      </w:r>
      <w:r w:rsidRPr="00494431">
        <w:tab/>
      </w:r>
      <w:r w:rsidR="00163C0A">
        <w:t>12</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A</w:t>
      </w:r>
      <w:r w:rsidRPr="00E53F2F">
        <w:rPr>
          <w:lang w:val="en-US"/>
        </w:rPr>
        <w:t>.</w:t>
      </w:r>
      <w:r w:rsidRPr="00E53F2F">
        <w:rPr>
          <w:lang w:val="en-US"/>
        </w:rPr>
        <w:tab/>
      </w:r>
      <w:r>
        <w:rPr>
          <w:lang w:val="en-US"/>
        </w:rPr>
        <w:t>Discriminatory laws</w:t>
      </w:r>
      <w:r w:rsidRPr="00E53F2F">
        <w:rPr>
          <w:lang w:val="en-US"/>
        </w:rPr>
        <w:tab/>
      </w:r>
      <w:r w:rsidRPr="00E53F2F">
        <w:rPr>
          <w:lang w:val="en-US"/>
        </w:rPr>
        <w:tab/>
      </w:r>
      <w:r>
        <w:rPr>
          <w:lang w:val="en-US"/>
        </w:rPr>
        <w:t>43</w:t>
      </w:r>
      <w:r w:rsidR="00194214">
        <w:rPr>
          <w:lang w:val="en-US"/>
        </w:rPr>
        <w:t xml:space="preserve"> </w:t>
      </w:r>
      <w:r w:rsidRPr="006335CF">
        <w:rPr>
          <w:lang w:val="en-US"/>
        </w:rPr>
        <w:t>–</w:t>
      </w:r>
      <w:r w:rsidR="00194214">
        <w:rPr>
          <w:lang w:val="en-US"/>
        </w:rPr>
        <w:t xml:space="preserve"> </w:t>
      </w:r>
      <w:r>
        <w:rPr>
          <w:lang w:val="en-US"/>
        </w:rPr>
        <w:t>49</w:t>
      </w:r>
      <w:r w:rsidRPr="00E53F2F">
        <w:rPr>
          <w:lang w:val="en-US"/>
        </w:rPr>
        <w:tab/>
      </w:r>
      <w:r w:rsidR="00163C0A">
        <w:rPr>
          <w:lang w:val="en-US"/>
        </w:rPr>
        <w:t>12</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E53F2F">
        <w:rPr>
          <w:lang w:val="en-US"/>
        </w:rPr>
        <w:tab/>
      </w:r>
      <w:r w:rsidRPr="00E53F2F">
        <w:rPr>
          <w:lang w:val="en-US"/>
        </w:rPr>
        <w:tab/>
      </w:r>
      <w:r>
        <w:rPr>
          <w:lang w:val="en-US"/>
        </w:rPr>
        <w:t>B</w:t>
      </w:r>
      <w:r w:rsidRPr="00E53F2F">
        <w:rPr>
          <w:lang w:val="en-US"/>
        </w:rPr>
        <w:t>.</w:t>
      </w:r>
      <w:r w:rsidRPr="00E53F2F">
        <w:rPr>
          <w:lang w:val="en-US"/>
        </w:rPr>
        <w:tab/>
      </w:r>
      <w:r>
        <w:rPr>
          <w:lang w:val="en-US"/>
        </w:rPr>
        <w:t>Discriminatory practices</w:t>
      </w:r>
      <w:r w:rsidRPr="00E53F2F">
        <w:rPr>
          <w:lang w:val="en-US"/>
        </w:rPr>
        <w:tab/>
      </w:r>
      <w:r w:rsidRPr="00E53F2F">
        <w:rPr>
          <w:lang w:val="en-US"/>
        </w:rPr>
        <w:tab/>
      </w:r>
      <w:r>
        <w:rPr>
          <w:lang w:val="en-US"/>
        </w:rPr>
        <w:t>50</w:t>
      </w:r>
      <w:r w:rsidR="00194214">
        <w:rPr>
          <w:lang w:val="en-US"/>
        </w:rPr>
        <w:t xml:space="preserve"> </w:t>
      </w:r>
      <w:r w:rsidRPr="007817DA">
        <w:rPr>
          <w:lang w:val="en-US"/>
        </w:rPr>
        <w:t>–</w:t>
      </w:r>
      <w:r w:rsidR="00194214">
        <w:rPr>
          <w:lang w:val="en-US"/>
        </w:rPr>
        <w:t xml:space="preserve"> </w:t>
      </w:r>
      <w:r>
        <w:rPr>
          <w:lang w:val="en-US"/>
        </w:rPr>
        <w:t>70</w:t>
      </w:r>
      <w:r w:rsidRPr="00E53F2F">
        <w:rPr>
          <w:lang w:val="en-US"/>
        </w:rPr>
        <w:tab/>
      </w:r>
      <w:r w:rsidR="00163C0A">
        <w:rPr>
          <w:lang w:val="en-US"/>
        </w:rPr>
        <w:t>14</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8F7641">
        <w:rPr>
          <w:lang w:val="en-US"/>
        </w:rPr>
        <w:tab/>
      </w:r>
      <w:r>
        <w:rPr>
          <w:lang w:val="en-US"/>
        </w:rPr>
        <w:tab/>
        <w:t>C</w:t>
      </w:r>
      <w:r w:rsidRPr="008F7641">
        <w:rPr>
          <w:lang w:val="en-US"/>
        </w:rPr>
        <w:t>.</w:t>
      </w:r>
      <w:r w:rsidRPr="008F7641">
        <w:rPr>
          <w:lang w:val="en-US"/>
        </w:rPr>
        <w:tab/>
      </w:r>
      <w:r>
        <w:rPr>
          <w:lang w:val="en-US"/>
        </w:rPr>
        <w:t>Positive developments since 2011</w:t>
      </w:r>
      <w:r w:rsidRPr="008F7641">
        <w:rPr>
          <w:lang w:val="en-US"/>
        </w:rPr>
        <w:tab/>
      </w:r>
      <w:r w:rsidRPr="008F7641">
        <w:rPr>
          <w:lang w:val="en-US"/>
        </w:rPr>
        <w:tab/>
      </w:r>
      <w:r>
        <w:rPr>
          <w:lang w:val="en-US"/>
        </w:rPr>
        <w:t>71</w:t>
      </w:r>
      <w:r w:rsidR="00194214">
        <w:rPr>
          <w:lang w:val="en-US"/>
        </w:rPr>
        <w:t xml:space="preserve"> </w:t>
      </w:r>
      <w:r w:rsidRPr="007817DA">
        <w:rPr>
          <w:lang w:val="en-US"/>
        </w:rPr>
        <w:t>–</w:t>
      </w:r>
      <w:r w:rsidR="00194214">
        <w:rPr>
          <w:lang w:val="en-US"/>
        </w:rPr>
        <w:t xml:space="preserve"> </w:t>
      </w:r>
      <w:r>
        <w:rPr>
          <w:lang w:val="en-US"/>
        </w:rPr>
        <w:t>75</w:t>
      </w:r>
      <w:r>
        <w:rPr>
          <w:lang w:val="en-US"/>
        </w:rPr>
        <w:tab/>
      </w:r>
      <w:r w:rsidR="00163C0A">
        <w:rPr>
          <w:lang w:val="en-US"/>
        </w:rPr>
        <w:t>19</w:t>
      </w:r>
    </w:p>
    <w:p w:rsidR="00E759E1" w:rsidRPr="00494431" w:rsidRDefault="00E759E1" w:rsidP="00E759E1">
      <w:pPr>
        <w:tabs>
          <w:tab w:val="right" w:pos="850"/>
          <w:tab w:val="left" w:pos="1134"/>
          <w:tab w:val="left" w:pos="1559"/>
          <w:tab w:val="left" w:pos="1984"/>
          <w:tab w:val="left" w:leader="dot" w:pos="7654"/>
          <w:tab w:val="right" w:pos="8929"/>
          <w:tab w:val="right" w:pos="9638"/>
        </w:tabs>
        <w:spacing w:after="120"/>
        <w:ind w:left="567"/>
      </w:pPr>
      <w:r w:rsidRPr="00494431">
        <w:tab/>
        <w:t>V</w:t>
      </w:r>
      <w:r>
        <w:t>I</w:t>
      </w:r>
      <w:r w:rsidRPr="00494431">
        <w:t>.</w:t>
      </w:r>
      <w:r w:rsidRPr="00494431">
        <w:tab/>
        <w:t xml:space="preserve">Conclusions and </w:t>
      </w:r>
      <w:r>
        <w:t>r</w:t>
      </w:r>
      <w:r w:rsidRPr="00494431">
        <w:t>ecommendations</w:t>
      </w:r>
      <w:r w:rsidRPr="00494431">
        <w:tab/>
      </w:r>
      <w:r w:rsidRPr="00494431">
        <w:tab/>
        <w:t>7</w:t>
      </w:r>
      <w:r>
        <w:t>6</w:t>
      </w:r>
      <w:r w:rsidR="00194214">
        <w:t xml:space="preserve"> </w:t>
      </w:r>
      <w:r w:rsidRPr="00494431">
        <w:t>–</w:t>
      </w:r>
      <w:r w:rsidR="00194214">
        <w:t xml:space="preserve"> </w:t>
      </w:r>
      <w:r w:rsidRPr="00494431">
        <w:t>81</w:t>
      </w:r>
      <w:r w:rsidRPr="00494431">
        <w:tab/>
      </w:r>
      <w:r w:rsidR="00163C0A">
        <w:t>20</w:t>
      </w:r>
    </w:p>
    <w:p w:rsidR="00E759E1" w:rsidRPr="00E53F2F"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494431">
        <w:tab/>
      </w:r>
      <w:r w:rsidRPr="00494431">
        <w:tab/>
      </w:r>
      <w:r>
        <w:rPr>
          <w:lang w:val="en-US"/>
        </w:rPr>
        <w:t>A</w:t>
      </w:r>
      <w:r w:rsidRPr="00E53F2F">
        <w:rPr>
          <w:lang w:val="en-US"/>
        </w:rPr>
        <w:t>.</w:t>
      </w:r>
      <w:r w:rsidRPr="00E53F2F">
        <w:rPr>
          <w:lang w:val="en-US"/>
        </w:rPr>
        <w:tab/>
      </w:r>
      <w:r>
        <w:rPr>
          <w:lang w:val="en-US"/>
        </w:rPr>
        <w:t>States</w:t>
      </w:r>
      <w:r w:rsidRPr="00E53F2F">
        <w:rPr>
          <w:lang w:val="en-US"/>
        </w:rPr>
        <w:tab/>
      </w:r>
      <w:r w:rsidRPr="00E53F2F">
        <w:rPr>
          <w:lang w:val="en-US"/>
        </w:rPr>
        <w:tab/>
      </w:r>
      <w:r>
        <w:rPr>
          <w:lang w:val="en-US"/>
        </w:rPr>
        <w:t>78</w:t>
      </w:r>
      <w:r w:rsidR="00194214">
        <w:rPr>
          <w:lang w:val="en-US"/>
        </w:rPr>
        <w:t xml:space="preserve"> </w:t>
      </w:r>
      <w:r w:rsidRPr="006335CF">
        <w:rPr>
          <w:lang w:val="en-US"/>
        </w:rPr>
        <w:t>–</w:t>
      </w:r>
      <w:r w:rsidR="00194214">
        <w:rPr>
          <w:lang w:val="en-US"/>
        </w:rPr>
        <w:t xml:space="preserve"> </w:t>
      </w:r>
      <w:r>
        <w:rPr>
          <w:lang w:val="en-US"/>
        </w:rPr>
        <w:t>79</w:t>
      </w:r>
      <w:r w:rsidRPr="00E53F2F">
        <w:rPr>
          <w:lang w:val="en-US"/>
        </w:rPr>
        <w:tab/>
      </w:r>
      <w:r w:rsidR="00163C0A">
        <w:rPr>
          <w:lang w:val="en-US"/>
        </w:rPr>
        <w:t>20</w:t>
      </w:r>
    </w:p>
    <w:p w:rsidR="00E759E1"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E53F2F">
        <w:rPr>
          <w:lang w:val="en-US"/>
        </w:rPr>
        <w:tab/>
      </w:r>
      <w:r w:rsidRPr="00E53F2F">
        <w:rPr>
          <w:lang w:val="en-US"/>
        </w:rPr>
        <w:tab/>
      </w:r>
      <w:r>
        <w:rPr>
          <w:lang w:val="en-US"/>
        </w:rPr>
        <w:t>B</w:t>
      </w:r>
      <w:r w:rsidRPr="00E53F2F">
        <w:rPr>
          <w:lang w:val="en-US"/>
        </w:rPr>
        <w:t>.</w:t>
      </w:r>
      <w:r w:rsidRPr="00E53F2F">
        <w:rPr>
          <w:lang w:val="en-US"/>
        </w:rPr>
        <w:tab/>
      </w:r>
      <w:r>
        <w:rPr>
          <w:lang w:val="en-US"/>
        </w:rPr>
        <w:t>National human rights institutions</w:t>
      </w:r>
      <w:r w:rsidRPr="00E53F2F">
        <w:rPr>
          <w:lang w:val="en-US"/>
        </w:rPr>
        <w:tab/>
      </w:r>
      <w:r w:rsidRPr="00E53F2F">
        <w:rPr>
          <w:lang w:val="en-US"/>
        </w:rPr>
        <w:tab/>
      </w:r>
      <w:r>
        <w:rPr>
          <w:lang w:val="en-US"/>
        </w:rPr>
        <w:t>80</w:t>
      </w:r>
      <w:r w:rsidRPr="00E53F2F">
        <w:rPr>
          <w:lang w:val="en-US"/>
        </w:rPr>
        <w:tab/>
      </w:r>
      <w:r w:rsidR="00163C0A">
        <w:rPr>
          <w:lang w:val="en-US"/>
        </w:rPr>
        <w:t>21</w:t>
      </w:r>
    </w:p>
    <w:p w:rsidR="00E759E1" w:rsidRPr="008821D0" w:rsidRDefault="00E759E1" w:rsidP="00E759E1">
      <w:pPr>
        <w:tabs>
          <w:tab w:val="right" w:pos="850"/>
          <w:tab w:val="left" w:pos="1134"/>
          <w:tab w:val="left" w:pos="1559"/>
          <w:tab w:val="left" w:pos="1984"/>
          <w:tab w:val="left" w:leader="dot" w:pos="7654"/>
          <w:tab w:val="right" w:pos="8929"/>
          <w:tab w:val="right" w:pos="9638"/>
        </w:tabs>
        <w:spacing w:after="120"/>
        <w:rPr>
          <w:lang w:val="en-US"/>
        </w:rPr>
      </w:pPr>
      <w:r w:rsidRPr="008F7641">
        <w:rPr>
          <w:lang w:val="en-US"/>
        </w:rPr>
        <w:tab/>
      </w:r>
      <w:r>
        <w:rPr>
          <w:lang w:val="en-US"/>
        </w:rPr>
        <w:tab/>
        <w:t>C</w:t>
      </w:r>
      <w:r w:rsidRPr="008F7641">
        <w:rPr>
          <w:lang w:val="en-US"/>
        </w:rPr>
        <w:t>.</w:t>
      </w:r>
      <w:r w:rsidRPr="008F7641">
        <w:rPr>
          <w:lang w:val="en-US"/>
        </w:rPr>
        <w:tab/>
      </w:r>
      <w:r>
        <w:rPr>
          <w:lang w:val="en-US"/>
        </w:rPr>
        <w:t>Human Rights Council</w:t>
      </w:r>
      <w:r w:rsidRPr="008F7641">
        <w:rPr>
          <w:lang w:val="en-US"/>
        </w:rPr>
        <w:tab/>
      </w:r>
      <w:r w:rsidRPr="008F7641">
        <w:rPr>
          <w:lang w:val="en-US"/>
        </w:rPr>
        <w:tab/>
      </w:r>
      <w:r>
        <w:rPr>
          <w:lang w:val="en-US"/>
        </w:rPr>
        <w:t>81</w:t>
      </w:r>
      <w:r>
        <w:rPr>
          <w:lang w:val="en-US"/>
        </w:rPr>
        <w:tab/>
      </w:r>
      <w:r w:rsidR="00163C0A">
        <w:rPr>
          <w:lang w:val="en-US"/>
        </w:rPr>
        <w:t>22</w:t>
      </w:r>
    </w:p>
    <w:p w:rsidR="00E759E1" w:rsidRDefault="00E759E1" w:rsidP="00E759E1">
      <w:pPr>
        <w:pStyle w:val="HChG"/>
        <w:ind w:hanging="425"/>
        <w:rPr>
          <w:rStyle w:val="SingleTxtGChar"/>
          <w:lang w:eastAsia="en-GB"/>
        </w:rPr>
      </w:pPr>
      <w:r w:rsidRPr="00F31492">
        <w:br w:type="page"/>
      </w:r>
      <w:r>
        <w:lastRenderedPageBreak/>
        <w:t>I.</w:t>
      </w:r>
      <w:r>
        <w:tab/>
      </w:r>
      <w:r>
        <w:rPr>
          <w:rFonts w:eastAsia="Calibri"/>
        </w:rPr>
        <w:t xml:space="preserve">Introduction </w:t>
      </w:r>
    </w:p>
    <w:p w:rsidR="00E759E1" w:rsidRPr="00B2489C" w:rsidRDefault="00E759E1" w:rsidP="00163C0A">
      <w:pPr>
        <w:pStyle w:val="SingleTxtG"/>
        <w:rPr>
          <w:lang w:eastAsia="zh-CN"/>
        </w:rPr>
      </w:pPr>
      <w:r w:rsidRPr="00B2489C">
        <w:rPr>
          <w:lang w:eastAsia="zh-CN"/>
        </w:rPr>
        <w:t>1.</w:t>
      </w:r>
      <w:r w:rsidRPr="00B2489C">
        <w:rPr>
          <w:lang w:eastAsia="zh-CN"/>
        </w:rPr>
        <w:tab/>
        <w:t xml:space="preserve">In 2011, </w:t>
      </w:r>
      <w:r w:rsidRPr="0091331E">
        <w:rPr>
          <w:lang w:eastAsia="zh-CN"/>
        </w:rPr>
        <w:t xml:space="preserve">pursuant to </w:t>
      </w:r>
      <w:r w:rsidRPr="00B2489C">
        <w:rPr>
          <w:lang w:eastAsia="zh-CN"/>
        </w:rPr>
        <w:t>Human Rights Council</w:t>
      </w:r>
      <w:r>
        <w:rPr>
          <w:lang w:eastAsia="zh-CN"/>
        </w:rPr>
        <w:t xml:space="preserve"> </w:t>
      </w:r>
      <w:r w:rsidRPr="0091331E">
        <w:rPr>
          <w:lang w:eastAsia="zh-CN"/>
        </w:rPr>
        <w:t xml:space="preserve">resolution 17/19, </w:t>
      </w:r>
      <w:r w:rsidRPr="00B2489C">
        <w:rPr>
          <w:lang w:eastAsia="zh-CN"/>
        </w:rPr>
        <w:t>the United Nations High Commissioner for Human Rights</w:t>
      </w:r>
      <w:r w:rsidRPr="00CD4B03">
        <w:rPr>
          <w:lang w:eastAsia="zh-CN"/>
        </w:rPr>
        <w:t xml:space="preserve"> </w:t>
      </w:r>
      <w:r w:rsidRPr="00B2489C">
        <w:rPr>
          <w:lang w:eastAsia="zh-CN"/>
        </w:rPr>
        <w:t>submitted a report to the Council</w:t>
      </w:r>
      <w:r>
        <w:rPr>
          <w:lang w:eastAsia="zh-CN"/>
        </w:rPr>
        <w:t xml:space="preserve"> in which </w:t>
      </w:r>
      <w:r w:rsidR="00D11809">
        <w:rPr>
          <w:lang w:eastAsia="zh-CN"/>
        </w:rPr>
        <w:t>s</w:t>
      </w:r>
      <w:r>
        <w:rPr>
          <w:lang w:eastAsia="zh-CN"/>
        </w:rPr>
        <w:t>he described</w:t>
      </w:r>
      <w:r w:rsidRPr="00B2489C">
        <w:rPr>
          <w:lang w:eastAsia="zh-CN"/>
        </w:rPr>
        <w:t xml:space="preserve"> a pattern of discrimination and violence directed at people in all regions on the basis of their sexual orientation and gender identity</w:t>
      </w:r>
      <w:r w:rsidR="00341B9B">
        <w:t>.</w:t>
      </w:r>
      <w:r w:rsidRPr="008C4904">
        <w:rPr>
          <w:rStyle w:val="FootnoteReference"/>
        </w:rPr>
        <w:footnoteReference w:id="2"/>
      </w:r>
      <w:r w:rsidRPr="00B2489C">
        <w:rPr>
          <w:lang w:eastAsia="zh-CN"/>
        </w:rPr>
        <w:t xml:space="preserve"> </w:t>
      </w:r>
      <w:r>
        <w:rPr>
          <w:lang w:eastAsia="zh-CN"/>
        </w:rPr>
        <w:t>Almost t</w:t>
      </w:r>
      <w:r w:rsidRPr="00B2489C">
        <w:rPr>
          <w:lang w:eastAsia="zh-CN"/>
        </w:rPr>
        <w:t xml:space="preserve">hree years on, </w:t>
      </w:r>
      <w:r>
        <w:rPr>
          <w:lang w:eastAsia="zh-CN"/>
        </w:rPr>
        <w:t xml:space="preserve">in its resolution 27/32, the Council requested the High Commissioner </w:t>
      </w:r>
      <w:r w:rsidRPr="00CD4B03">
        <w:rPr>
          <w:lang w:eastAsia="zh-CN"/>
        </w:rPr>
        <w:t>to update the</w:t>
      </w:r>
      <w:r>
        <w:rPr>
          <w:lang w:eastAsia="zh-CN"/>
        </w:rPr>
        <w:t xml:space="preserve"> above-mentioned</w:t>
      </w:r>
      <w:r w:rsidRPr="00CD4B03">
        <w:rPr>
          <w:lang w:eastAsia="zh-CN"/>
        </w:rPr>
        <w:t xml:space="preserve"> report with a view to sharing good practices and ways to overcome violence and discrimination, in application of existing international human rights law and standards</w:t>
      </w:r>
      <w:r>
        <w:rPr>
          <w:lang w:eastAsia="zh-CN"/>
        </w:rPr>
        <w:t>.</w:t>
      </w:r>
    </w:p>
    <w:p w:rsidR="00E759E1" w:rsidRPr="00B2489C" w:rsidRDefault="00E759E1" w:rsidP="00163C0A">
      <w:pPr>
        <w:pStyle w:val="SingleTxtG"/>
        <w:rPr>
          <w:lang w:eastAsia="zh-CN"/>
        </w:rPr>
      </w:pPr>
      <w:r w:rsidRPr="00B2489C">
        <w:rPr>
          <w:lang w:eastAsia="zh-CN"/>
        </w:rPr>
        <w:t>2.</w:t>
      </w:r>
      <w:r w:rsidRPr="00B2489C">
        <w:rPr>
          <w:lang w:eastAsia="zh-CN"/>
        </w:rPr>
        <w:tab/>
        <w:t xml:space="preserve">The </w:t>
      </w:r>
      <w:r>
        <w:rPr>
          <w:lang w:eastAsia="zh-CN"/>
        </w:rPr>
        <w:t xml:space="preserve">present </w:t>
      </w:r>
      <w:r w:rsidRPr="00B2489C">
        <w:rPr>
          <w:lang w:eastAsia="zh-CN"/>
        </w:rPr>
        <w:t xml:space="preserve">report draws on recent findings of United Nations human rights bodies, regional organizations and non-governmental organizations, </w:t>
      </w:r>
      <w:r w:rsidR="008E3360">
        <w:rPr>
          <w:lang w:eastAsia="zh-CN"/>
        </w:rPr>
        <w:t>and</w:t>
      </w:r>
      <w:r w:rsidRPr="00B2489C">
        <w:rPr>
          <w:lang w:eastAsia="zh-CN"/>
        </w:rPr>
        <w:t xml:space="preserve"> information submitted by </w:t>
      </w:r>
      <w:r>
        <w:rPr>
          <w:lang w:eastAsia="zh-CN"/>
        </w:rPr>
        <w:t>Governments,</w:t>
      </w:r>
      <w:r w:rsidRPr="00B2489C">
        <w:rPr>
          <w:lang w:eastAsia="zh-CN"/>
        </w:rPr>
        <w:t xml:space="preserve"> including 2</w:t>
      </w:r>
      <w:r>
        <w:rPr>
          <w:lang w:eastAsia="zh-CN"/>
        </w:rPr>
        <w:t>8</w:t>
      </w:r>
      <w:r w:rsidRPr="00B2489C">
        <w:rPr>
          <w:lang w:eastAsia="zh-CN"/>
        </w:rPr>
        <w:t xml:space="preserve"> replies to a </w:t>
      </w:r>
      <w:r w:rsidRPr="0035771E">
        <w:rPr>
          <w:lang w:eastAsia="zh-CN"/>
        </w:rPr>
        <w:t>note verbale</w:t>
      </w:r>
      <w:r w:rsidRPr="00B2489C">
        <w:rPr>
          <w:lang w:eastAsia="zh-CN"/>
        </w:rPr>
        <w:t xml:space="preserve"> addressed to Member States on 29 December 2014.</w:t>
      </w:r>
      <w:r>
        <w:rPr>
          <w:rStyle w:val="FootnoteReference"/>
          <w:lang w:eastAsia="zh-CN"/>
        </w:rPr>
        <w:footnoteReference w:id="3"/>
      </w:r>
      <w:r w:rsidRPr="00B2489C">
        <w:rPr>
          <w:lang w:eastAsia="zh-CN"/>
        </w:rPr>
        <w:t xml:space="preserve"> </w:t>
      </w:r>
    </w:p>
    <w:p w:rsidR="00E759E1" w:rsidRPr="00B2489C" w:rsidRDefault="00E759E1" w:rsidP="00023DDC">
      <w:pPr>
        <w:pStyle w:val="HChG"/>
        <w:spacing w:line="240" w:lineRule="atLeast"/>
        <w:rPr>
          <w:lang w:eastAsia="zh-CN"/>
        </w:rPr>
      </w:pPr>
      <w:r>
        <w:rPr>
          <w:lang w:eastAsia="zh-CN"/>
        </w:rPr>
        <w:tab/>
      </w:r>
      <w:r w:rsidRPr="00B2489C">
        <w:rPr>
          <w:lang w:eastAsia="zh-CN"/>
        </w:rPr>
        <w:t>II.</w:t>
      </w:r>
      <w:r w:rsidRPr="00B2489C">
        <w:rPr>
          <w:lang w:eastAsia="zh-CN"/>
        </w:rPr>
        <w:tab/>
        <w:t>Recent developments</w:t>
      </w:r>
    </w:p>
    <w:p w:rsidR="00E759E1" w:rsidRPr="00B2489C" w:rsidRDefault="00E759E1" w:rsidP="00023DDC">
      <w:pPr>
        <w:pStyle w:val="SingleTxtG"/>
        <w:rPr>
          <w:lang w:eastAsia="zh-CN"/>
        </w:rPr>
      </w:pPr>
      <w:r>
        <w:rPr>
          <w:lang w:eastAsia="zh-CN"/>
        </w:rPr>
        <w:t>3.</w:t>
      </w:r>
      <w:r>
        <w:rPr>
          <w:lang w:eastAsia="zh-CN"/>
        </w:rPr>
        <w:tab/>
      </w:r>
      <w:r w:rsidRPr="00B2489C">
        <w:rPr>
          <w:lang w:eastAsia="zh-CN"/>
        </w:rPr>
        <w:t xml:space="preserve">In recent years, Governments in all regions have pursued a variety of initiatives aimed at reducing levels of violence and discrimination based on sexual orientation and gender identity. For example, since 2011, 14 </w:t>
      </w:r>
      <w:r>
        <w:rPr>
          <w:lang w:eastAsia="zh-CN"/>
        </w:rPr>
        <w:t>States</w:t>
      </w:r>
      <w:r w:rsidRPr="00B2489C">
        <w:rPr>
          <w:lang w:eastAsia="zh-CN"/>
        </w:rPr>
        <w:t xml:space="preserve"> have adopted or strengthened anti-discrimination and hate crime laws, extending protection on grounds of sexual orientation and/or gender identity and, in two cases, also introducing legal protections for intersex persons</w:t>
      </w:r>
      <w:r>
        <w:rPr>
          <w:lang w:eastAsia="zh-CN"/>
        </w:rPr>
        <w:t>.</w:t>
      </w:r>
      <w:r w:rsidRPr="00B2489C">
        <w:rPr>
          <w:lang w:eastAsia="zh-CN"/>
        </w:rPr>
        <w:t xml:space="preserve"> </w:t>
      </w:r>
      <w:r>
        <w:rPr>
          <w:lang w:eastAsia="zh-CN"/>
        </w:rPr>
        <w:t>T</w:t>
      </w:r>
      <w:r w:rsidRPr="00B2489C">
        <w:rPr>
          <w:lang w:eastAsia="zh-CN"/>
        </w:rPr>
        <w:t xml:space="preserve">hree </w:t>
      </w:r>
      <w:r>
        <w:rPr>
          <w:lang w:eastAsia="zh-CN"/>
        </w:rPr>
        <w:t>States</w:t>
      </w:r>
      <w:r w:rsidRPr="00B2489C">
        <w:rPr>
          <w:lang w:eastAsia="zh-CN"/>
        </w:rPr>
        <w:t xml:space="preserve"> have abolished criminal sanctions for homosexuality; 12 have introduced marriage or civil unions for same-sex couples nationally; and </w:t>
      </w:r>
      <w:r>
        <w:rPr>
          <w:lang w:eastAsia="zh-CN"/>
        </w:rPr>
        <w:t>10</w:t>
      </w:r>
      <w:r w:rsidRPr="00B2489C">
        <w:rPr>
          <w:lang w:eastAsia="zh-CN"/>
        </w:rPr>
        <w:t xml:space="preserve"> have introduced reforms that, to varying degrees, make it easier for transgender persons to obtain legal recognition of their gender identity. </w:t>
      </w:r>
    </w:p>
    <w:p w:rsidR="00E759E1" w:rsidRPr="00B2489C" w:rsidRDefault="00E759E1" w:rsidP="00023DDC">
      <w:pPr>
        <w:pStyle w:val="SingleTxtG"/>
        <w:rPr>
          <w:lang w:eastAsia="zh-CN"/>
        </w:rPr>
      </w:pPr>
      <w:r w:rsidRPr="00B2489C">
        <w:rPr>
          <w:lang w:eastAsia="zh-CN"/>
        </w:rPr>
        <w:t>4.</w:t>
      </w:r>
      <w:r w:rsidRPr="00B2489C">
        <w:rPr>
          <w:lang w:eastAsia="zh-CN"/>
        </w:rPr>
        <w:tab/>
        <w:t>In dozens of countries, police, judges, prison guards, medical staff and teachers are receiving gender and sexuality sensitivity training</w:t>
      </w:r>
      <w:r>
        <w:rPr>
          <w:lang w:eastAsia="zh-CN"/>
        </w:rPr>
        <w:t>,</w:t>
      </w:r>
      <w:r w:rsidRPr="00B2489C">
        <w:rPr>
          <w:lang w:eastAsia="zh-CN"/>
        </w:rPr>
        <w:t xml:space="preserve"> anti-bullying programmes have been launched in schools</w:t>
      </w:r>
      <w:r>
        <w:rPr>
          <w:lang w:eastAsia="zh-CN"/>
        </w:rPr>
        <w:t>,</w:t>
      </w:r>
      <w:r w:rsidRPr="00B2489C">
        <w:rPr>
          <w:lang w:eastAsia="zh-CN"/>
        </w:rPr>
        <w:t xml:space="preserve"> and shelters </w:t>
      </w:r>
      <w:r>
        <w:rPr>
          <w:lang w:eastAsia="zh-CN"/>
        </w:rPr>
        <w:t xml:space="preserve">have been </w:t>
      </w:r>
      <w:r w:rsidRPr="00B2489C">
        <w:rPr>
          <w:lang w:eastAsia="zh-CN"/>
        </w:rPr>
        <w:t>built to house homeless lesbian, gay, bisexual and transgender (LGBT) youth. Popular television programmes have integrated LGBT characters in a positive way and celebrities have helped to raise awareness by “coming out” as LGBT</w:t>
      </w:r>
      <w:r>
        <w:rPr>
          <w:lang w:eastAsia="zh-CN"/>
        </w:rPr>
        <w:t xml:space="preserve"> persons</w:t>
      </w:r>
      <w:r w:rsidRPr="00B2489C">
        <w:rPr>
          <w:lang w:eastAsia="zh-CN"/>
        </w:rPr>
        <w:t xml:space="preserve"> themselves or speaking out in support of members of the LGBT community. In all regions, LGBT and intersex</w:t>
      </w:r>
      <w:r>
        <w:rPr>
          <w:rStyle w:val="FootnoteReference"/>
          <w:lang w:eastAsia="zh-CN"/>
        </w:rPr>
        <w:footnoteReference w:id="4"/>
      </w:r>
      <w:r w:rsidRPr="00B2489C">
        <w:rPr>
          <w:lang w:eastAsia="zh-CN"/>
        </w:rPr>
        <w:t xml:space="preserve"> human rights defenders are more vocal and visible</w:t>
      </w:r>
      <w:r>
        <w:rPr>
          <w:lang w:eastAsia="zh-CN"/>
        </w:rPr>
        <w:t xml:space="preserve"> </w:t>
      </w:r>
      <w:r w:rsidRPr="00B2489C">
        <w:rPr>
          <w:lang w:eastAsia="zh-CN"/>
        </w:rPr>
        <w:t>– in several cases successfully challenging in the courts attempts by authorities to restrict their legitimate activities.</w:t>
      </w:r>
    </w:p>
    <w:p w:rsidR="00E759E1" w:rsidRPr="00B2489C" w:rsidRDefault="00E759E1" w:rsidP="00023DDC">
      <w:pPr>
        <w:pStyle w:val="SingleTxtG"/>
        <w:rPr>
          <w:lang w:eastAsia="zh-CN"/>
        </w:rPr>
      </w:pPr>
      <w:r w:rsidRPr="00B2489C">
        <w:rPr>
          <w:lang w:eastAsia="zh-CN"/>
        </w:rPr>
        <w:t>5.</w:t>
      </w:r>
      <w:r w:rsidRPr="00B2489C">
        <w:rPr>
          <w:lang w:eastAsia="zh-CN"/>
        </w:rPr>
        <w:tab/>
        <w:t xml:space="preserve">While these advances </w:t>
      </w:r>
      <w:r>
        <w:rPr>
          <w:lang w:eastAsia="zh-CN"/>
        </w:rPr>
        <w:t xml:space="preserve">are </w:t>
      </w:r>
      <w:r w:rsidRPr="00B2489C">
        <w:rPr>
          <w:lang w:eastAsia="zh-CN"/>
        </w:rPr>
        <w:t xml:space="preserve">welcome, </w:t>
      </w:r>
      <w:r>
        <w:rPr>
          <w:lang w:eastAsia="zh-CN"/>
        </w:rPr>
        <w:t xml:space="preserve">they </w:t>
      </w:r>
      <w:r w:rsidRPr="00B2489C">
        <w:rPr>
          <w:lang w:eastAsia="zh-CN"/>
        </w:rPr>
        <w:t xml:space="preserve">are overshadowed by continuing, serious and widespread human rights violations perpetrated, too often with impunity, against individuals based on their sexual orientation and gender identity. Since 2011, </w:t>
      </w:r>
      <w:r w:rsidRPr="00126510">
        <w:rPr>
          <w:lang w:eastAsia="zh-CN"/>
        </w:rPr>
        <w:t>hundreds</w:t>
      </w:r>
      <w:r w:rsidRPr="00B2489C">
        <w:rPr>
          <w:lang w:eastAsia="zh-CN"/>
        </w:rPr>
        <w:t xml:space="preserve"> of people have been killed and </w:t>
      </w:r>
      <w:r w:rsidRPr="00126510">
        <w:rPr>
          <w:lang w:eastAsia="zh-CN"/>
        </w:rPr>
        <w:t>thousands more</w:t>
      </w:r>
      <w:r w:rsidRPr="00B2489C">
        <w:rPr>
          <w:lang w:eastAsia="zh-CN"/>
        </w:rPr>
        <w:t xml:space="preserve"> injured in brutal, violent attacks – some of which are chronicled </w:t>
      </w:r>
      <w:r>
        <w:rPr>
          <w:lang w:eastAsia="zh-CN"/>
        </w:rPr>
        <w:t>below</w:t>
      </w:r>
      <w:r w:rsidRPr="00B2489C">
        <w:rPr>
          <w:lang w:eastAsia="zh-CN"/>
        </w:rPr>
        <w:t>. Other documented violations include torture, arbitrary detention, denial of rights to assembly and expression, and discrimination in health</w:t>
      </w:r>
      <w:r>
        <w:rPr>
          <w:lang w:eastAsia="zh-CN"/>
        </w:rPr>
        <w:t xml:space="preserve"> </w:t>
      </w:r>
      <w:r w:rsidRPr="00B2489C">
        <w:rPr>
          <w:lang w:eastAsia="zh-CN"/>
        </w:rPr>
        <w:t xml:space="preserve">care, </w:t>
      </w:r>
      <w:r w:rsidRPr="00B2489C">
        <w:rPr>
          <w:lang w:eastAsia="zh-CN"/>
        </w:rPr>
        <w:lastRenderedPageBreak/>
        <w:t xml:space="preserve">education, employment and housing. These and related abuses warrant a concerted response from Governments, legislatures, regional organizations, national human rights institutions and civil society, as well as from </w:t>
      </w:r>
      <w:r>
        <w:rPr>
          <w:lang w:eastAsia="zh-CN"/>
        </w:rPr>
        <w:t>United Nations</w:t>
      </w:r>
      <w:r w:rsidRPr="00B2489C">
        <w:rPr>
          <w:lang w:eastAsia="zh-CN"/>
        </w:rPr>
        <w:t xml:space="preserve"> bodies – the Human Rights Council included. </w:t>
      </w:r>
    </w:p>
    <w:p w:rsidR="00E759E1" w:rsidRPr="00B2489C" w:rsidRDefault="00E759E1" w:rsidP="00023DDC">
      <w:pPr>
        <w:pStyle w:val="SingleTxtG"/>
        <w:rPr>
          <w:lang w:eastAsia="zh-CN"/>
        </w:rPr>
      </w:pPr>
      <w:r w:rsidRPr="00B2489C">
        <w:rPr>
          <w:lang w:eastAsia="zh-CN"/>
        </w:rPr>
        <w:t>6.</w:t>
      </w:r>
      <w:r w:rsidRPr="00B2489C">
        <w:rPr>
          <w:lang w:eastAsia="zh-CN"/>
        </w:rPr>
        <w:tab/>
        <w:t xml:space="preserve">Concerns regarding the extent and gravity of violence and discrimination against LGBT and intersex persons have been raised repeatedly by United Nations human rights treaty bodies and special procedures. In recent years, the Office of the High Commissioner </w:t>
      </w:r>
      <w:r>
        <w:rPr>
          <w:lang w:eastAsia="zh-CN"/>
        </w:rPr>
        <w:t>(OHCHR)</w:t>
      </w:r>
      <w:r w:rsidRPr="00B2489C">
        <w:rPr>
          <w:lang w:eastAsia="zh-CN"/>
        </w:rPr>
        <w:t xml:space="preserve"> has published a range of guidance and public information materials – including factsheets, booklets and short videos – and has sought to engage States in a constructive dialogue on ways to better protect the rights of LGBT and intersex persons. In July 2013, the High Commissioner launched UN Free &amp; Equal </w:t>
      </w:r>
      <w:r>
        <w:rPr>
          <w:lang w:eastAsia="zh-CN"/>
        </w:rPr>
        <w:t>(</w:t>
      </w:r>
      <w:r w:rsidRPr="00105166">
        <w:t>www.unfe.org</w:t>
      </w:r>
      <w:r>
        <w:t>)</w:t>
      </w:r>
      <w:r w:rsidR="00547B89">
        <w:t>,</w:t>
      </w:r>
      <w:r w:rsidRPr="00B2489C">
        <w:rPr>
          <w:lang w:eastAsia="zh-CN"/>
        </w:rPr>
        <w:t xml:space="preserve"> a global education campaign to combat homophobia and transphobia that has so far reached more than a billion people around the world through events and via traditional and social media.</w:t>
      </w:r>
    </w:p>
    <w:p w:rsidR="00E759E1" w:rsidRPr="00B2489C" w:rsidRDefault="00E759E1" w:rsidP="00023DDC">
      <w:pPr>
        <w:pStyle w:val="SingleTxtG"/>
        <w:rPr>
          <w:lang w:eastAsia="zh-CN"/>
        </w:rPr>
      </w:pPr>
      <w:r w:rsidRPr="00B2489C">
        <w:rPr>
          <w:lang w:eastAsia="zh-CN"/>
        </w:rPr>
        <w:t>7.</w:t>
      </w:r>
      <w:r w:rsidRPr="00B2489C">
        <w:rPr>
          <w:lang w:eastAsia="zh-CN"/>
        </w:rPr>
        <w:tab/>
        <w:t>The rights of LGBT pe</w:t>
      </w:r>
      <w:r>
        <w:rPr>
          <w:lang w:eastAsia="zh-CN"/>
        </w:rPr>
        <w:t>rsons</w:t>
      </w:r>
      <w:r w:rsidRPr="00B2489C">
        <w:rPr>
          <w:lang w:eastAsia="zh-CN"/>
        </w:rPr>
        <w:t xml:space="preserve"> have also been a focus of work going on across the wider United Nations system. </w:t>
      </w:r>
      <w:r>
        <w:rPr>
          <w:lang w:eastAsia="zh-CN"/>
        </w:rPr>
        <w:t xml:space="preserve">In his message to the </w:t>
      </w:r>
      <w:r w:rsidRPr="008B7B8A">
        <w:t xml:space="preserve">Oslo Conference on Human Rights, Sexual </w:t>
      </w:r>
      <w:r>
        <w:t>Orientation and Gender Identity,</w:t>
      </w:r>
      <w:r>
        <w:rPr>
          <w:lang w:eastAsia="zh-CN"/>
        </w:rPr>
        <w:t xml:space="preserve"> the </w:t>
      </w:r>
      <w:r w:rsidRPr="00B2489C">
        <w:rPr>
          <w:lang w:eastAsia="zh-CN"/>
        </w:rPr>
        <w:t xml:space="preserve">Secretary-General described the fight against homophobia and transphobia as “one of the great, neglected human rights challenges of our time” and pledged to work for an end to criminalization and for action to tackle violence and prejudice. United Nations agencies are increasingly integrating issues of sexual orientation and gender identity into their programmatic work, including in the areas of development, education, labour rights, child rights, gender equality, </w:t>
      </w:r>
      <w:r>
        <w:rPr>
          <w:lang w:eastAsia="zh-CN"/>
        </w:rPr>
        <w:t>refugee protection</w:t>
      </w:r>
      <w:r w:rsidRPr="00B2489C">
        <w:rPr>
          <w:lang w:eastAsia="zh-CN"/>
        </w:rPr>
        <w:t>, HIV and public health.</w:t>
      </w:r>
      <w:r w:rsidRPr="0035771E">
        <w:rPr>
          <w:rFonts w:eastAsia="SimSun"/>
          <w:sz w:val="18"/>
          <w:szCs w:val="18"/>
          <w:vertAlign w:val="superscript"/>
          <w:lang w:eastAsia="zh-CN"/>
        </w:rPr>
        <w:footnoteReference w:id="5"/>
      </w:r>
      <w:r w:rsidRPr="00B2489C">
        <w:rPr>
          <w:lang w:eastAsia="zh-CN"/>
        </w:rPr>
        <w:t xml:space="preserve"> </w:t>
      </w:r>
    </w:p>
    <w:p w:rsidR="00E759E1" w:rsidRPr="00B2489C" w:rsidRDefault="00E759E1" w:rsidP="00023DDC">
      <w:pPr>
        <w:pStyle w:val="SingleTxtG"/>
        <w:rPr>
          <w:lang w:eastAsia="zh-CN"/>
        </w:rPr>
      </w:pPr>
      <w:r w:rsidRPr="00B2489C">
        <w:rPr>
          <w:lang w:eastAsia="zh-CN"/>
        </w:rPr>
        <w:t>8.</w:t>
      </w:r>
      <w:r w:rsidRPr="00B2489C">
        <w:rPr>
          <w:lang w:eastAsia="zh-CN"/>
        </w:rPr>
        <w:tab/>
        <w:t xml:space="preserve">Human rights, sexual orientation and gender identity have also been addressed by regional organizations in Africa, the Americas and Europe. In 2014, the African Commission on Human and Peoples’ Rights passed a resolution </w:t>
      </w:r>
      <w:r>
        <w:rPr>
          <w:lang w:eastAsia="zh-CN"/>
        </w:rPr>
        <w:t xml:space="preserve">in which it </w:t>
      </w:r>
      <w:r w:rsidRPr="00B2489C">
        <w:rPr>
          <w:lang w:eastAsia="zh-CN"/>
        </w:rPr>
        <w:t>condemn</w:t>
      </w:r>
      <w:r>
        <w:rPr>
          <w:lang w:eastAsia="zh-CN"/>
        </w:rPr>
        <w:t>ed</w:t>
      </w:r>
      <w:r w:rsidRPr="00B2489C">
        <w:rPr>
          <w:lang w:eastAsia="zh-CN"/>
        </w:rPr>
        <w:t xml:space="preserve"> violence and other human rights violations based on real or imputed sexual orientation and gender identity; the Organization of American States approved its </w:t>
      </w:r>
      <w:r>
        <w:rPr>
          <w:lang w:eastAsia="zh-CN"/>
        </w:rPr>
        <w:t>seventh</w:t>
      </w:r>
      <w:r w:rsidRPr="00B2489C">
        <w:rPr>
          <w:lang w:eastAsia="zh-CN"/>
        </w:rPr>
        <w:t xml:space="preserve"> resolution on human rights, sexual orientation and gender identity, having in 2013 adopted the Convention against all forms of Discrimination and Intolerance, which addresses these issues; the Inter-American Commission on Human Rights established </w:t>
      </w:r>
      <w:r>
        <w:rPr>
          <w:lang w:eastAsia="zh-CN"/>
        </w:rPr>
        <w:t>the mandate of</w:t>
      </w:r>
      <w:r w:rsidRPr="00B2489C">
        <w:rPr>
          <w:lang w:eastAsia="zh-CN"/>
        </w:rPr>
        <w:t xml:space="preserve"> Rapporteur on the rights of LGBT and intersex persons, having established a dedicated unit in 2011; the European Union adopted guidelines on the promotion and protection of human rights of LGBT and intersex persons, and both the European Parliament and the Parliamentary Assembly of the Council of Europe adopted resolutions on the subject; and the European Court of Human Rights and the Inter-American Court of Human Rights issued several judg</w:t>
      </w:r>
      <w:r>
        <w:rPr>
          <w:lang w:eastAsia="zh-CN"/>
        </w:rPr>
        <w:t>e</w:t>
      </w:r>
      <w:r w:rsidRPr="00B2489C">
        <w:rPr>
          <w:lang w:eastAsia="zh-CN"/>
        </w:rPr>
        <w:t>ments affirming the rights of LGBT persons to equal treatment and protection under the law.</w:t>
      </w:r>
    </w:p>
    <w:p w:rsidR="00E759E1" w:rsidRPr="00B2489C" w:rsidRDefault="00E759E1" w:rsidP="00023DDC">
      <w:pPr>
        <w:pStyle w:val="HChG"/>
        <w:spacing w:line="240" w:lineRule="atLeast"/>
        <w:rPr>
          <w:rFonts w:eastAsia="SimSun"/>
          <w:lang w:eastAsia="zh-CN"/>
        </w:rPr>
      </w:pPr>
      <w:r>
        <w:rPr>
          <w:rFonts w:eastAsia="SimSun"/>
          <w:lang w:eastAsia="zh-CN"/>
        </w:rPr>
        <w:tab/>
        <w:t>III.</w:t>
      </w:r>
      <w:r w:rsidRPr="00B2489C">
        <w:rPr>
          <w:rFonts w:eastAsia="SimSun"/>
          <w:lang w:eastAsia="zh-CN"/>
        </w:rPr>
        <w:tab/>
        <w:t>Applicable international standards and obligations</w:t>
      </w:r>
    </w:p>
    <w:p w:rsidR="00E759E1" w:rsidRPr="00B2489C" w:rsidRDefault="00E759E1" w:rsidP="00023DDC">
      <w:pPr>
        <w:pStyle w:val="SingleTxtG"/>
        <w:rPr>
          <w:rFonts w:eastAsia="SimSun"/>
          <w:lang w:eastAsia="zh-CN"/>
        </w:rPr>
      </w:pPr>
      <w:r w:rsidRPr="00B2489C">
        <w:rPr>
          <w:rFonts w:eastAsia="SimSun"/>
          <w:lang w:eastAsia="zh-CN"/>
        </w:rPr>
        <w:t>9.</w:t>
      </w:r>
      <w:r w:rsidRPr="00B2489C">
        <w:rPr>
          <w:rFonts w:eastAsia="SimSun"/>
          <w:lang w:eastAsia="zh-CN"/>
        </w:rPr>
        <w:tab/>
        <w:t>Application of international human rights law is guided by</w:t>
      </w:r>
      <w:r>
        <w:rPr>
          <w:rFonts w:eastAsia="SimSun"/>
          <w:lang w:eastAsia="zh-CN"/>
        </w:rPr>
        <w:t xml:space="preserve"> the</w:t>
      </w:r>
      <w:r w:rsidRPr="00B2489C">
        <w:rPr>
          <w:rFonts w:eastAsia="SimSun"/>
          <w:lang w:eastAsia="zh-CN"/>
        </w:rPr>
        <w:t xml:space="preserve"> fundamental principles of universality, equality and non-discrimination. All human beings, irrespective of their sexual orientation and gender identity, are entitled to enjoy the protection of international human rights law with respect to </w:t>
      </w:r>
      <w:r>
        <w:rPr>
          <w:rFonts w:eastAsia="SimSun"/>
          <w:lang w:eastAsia="zh-CN"/>
        </w:rPr>
        <w:t xml:space="preserve">the </w:t>
      </w:r>
      <w:r w:rsidRPr="00B2489C">
        <w:rPr>
          <w:rFonts w:eastAsia="SimSun"/>
          <w:lang w:eastAsia="zh-CN"/>
        </w:rPr>
        <w:t xml:space="preserve">rights to life, security of person and privacy, to freedom from torture and ill-treatment, discrimination and arbitrary arrest and </w:t>
      </w:r>
      <w:r w:rsidRPr="00B2489C">
        <w:rPr>
          <w:rFonts w:eastAsia="SimSun"/>
          <w:lang w:eastAsia="zh-CN"/>
        </w:rPr>
        <w:lastRenderedPageBreak/>
        <w:t>detention, and to freedom of expression, association and peaceful assembly, and all other civil, political, economic, social and cultural rights.</w:t>
      </w:r>
    </w:p>
    <w:p w:rsidR="00E759E1" w:rsidRPr="00B2489C" w:rsidRDefault="00E759E1" w:rsidP="00023DDC">
      <w:pPr>
        <w:pStyle w:val="SingleTxtG"/>
        <w:rPr>
          <w:rFonts w:eastAsia="SimSun"/>
          <w:lang w:eastAsia="zh-CN"/>
        </w:rPr>
      </w:pPr>
      <w:r w:rsidRPr="00B2489C">
        <w:rPr>
          <w:rFonts w:eastAsia="SimSun"/>
          <w:lang w:eastAsia="zh-CN"/>
        </w:rPr>
        <w:t>10.</w:t>
      </w:r>
      <w:r w:rsidRPr="00B2489C">
        <w:rPr>
          <w:rFonts w:eastAsia="SimSun"/>
          <w:lang w:eastAsia="zh-CN"/>
        </w:rPr>
        <w:tab/>
        <w:t xml:space="preserve">States </w:t>
      </w:r>
      <w:r>
        <w:rPr>
          <w:rFonts w:eastAsia="SimSun"/>
          <w:lang w:eastAsia="zh-CN"/>
        </w:rPr>
        <w:t>have well-established obligations to</w:t>
      </w:r>
      <w:r w:rsidRPr="00B2489C">
        <w:rPr>
          <w:rFonts w:eastAsia="SimSun"/>
          <w:lang w:eastAsia="zh-CN"/>
        </w:rPr>
        <w:t xml:space="preserve"> </w:t>
      </w:r>
      <w:r>
        <w:rPr>
          <w:rFonts w:eastAsia="SimSun"/>
          <w:lang w:eastAsia="zh-CN"/>
        </w:rPr>
        <w:t xml:space="preserve">respect, protect and fulfil the human rights of all persons within their jurisdiction, including LGBT and intersex persons. These obligations extend to refraining from interference in the enjoyment of rights, preventing abuses by third parties and proactively tackling barriers to the enjoyment of human rights, including, in the present context, discriminatory attitudes and practices. </w:t>
      </w:r>
      <w:r w:rsidRPr="00B2489C">
        <w:rPr>
          <w:rFonts w:eastAsia="SimSun"/>
          <w:lang w:eastAsia="zh-CN"/>
        </w:rPr>
        <w:t xml:space="preserve">Specific related obligations are elaborated below, building on analysis in </w:t>
      </w:r>
      <w:r>
        <w:rPr>
          <w:rFonts w:eastAsia="SimSun"/>
          <w:lang w:eastAsia="zh-CN"/>
        </w:rPr>
        <w:t xml:space="preserve">the previous </w:t>
      </w:r>
      <w:r w:rsidRPr="00B2489C">
        <w:rPr>
          <w:rFonts w:eastAsia="SimSun"/>
          <w:lang w:eastAsia="zh-CN"/>
        </w:rPr>
        <w:t xml:space="preserve">report </w:t>
      </w:r>
      <w:r>
        <w:rPr>
          <w:rFonts w:eastAsia="SimSun"/>
          <w:lang w:eastAsia="zh-CN"/>
        </w:rPr>
        <w:t>(</w:t>
      </w:r>
      <w:r w:rsidRPr="00B2489C">
        <w:rPr>
          <w:rFonts w:eastAsia="SimSun"/>
          <w:lang w:eastAsia="zh-CN"/>
        </w:rPr>
        <w:t>A/HRC/19/41</w:t>
      </w:r>
      <w:r>
        <w:rPr>
          <w:rFonts w:eastAsia="SimSun"/>
          <w:lang w:eastAsia="zh-CN"/>
        </w:rPr>
        <w:t>)</w:t>
      </w:r>
      <w:r w:rsidRPr="00B2489C">
        <w:rPr>
          <w:rFonts w:eastAsia="SimSun"/>
          <w:lang w:eastAsia="zh-CN"/>
        </w:rPr>
        <w:t xml:space="preserve"> and evolving work of United Nations human rights mechanisms.</w:t>
      </w:r>
    </w:p>
    <w:p w:rsidR="00E759E1" w:rsidRPr="00B2489C" w:rsidRDefault="00E759E1" w:rsidP="00023DDC">
      <w:pPr>
        <w:pStyle w:val="H1G"/>
        <w:spacing w:line="240" w:lineRule="atLeast"/>
        <w:rPr>
          <w:rFonts w:eastAsia="SimSun"/>
          <w:lang w:eastAsia="zh-CN"/>
        </w:rPr>
      </w:pPr>
      <w:r>
        <w:rPr>
          <w:rFonts w:eastAsia="SimSun"/>
          <w:lang w:eastAsia="zh-CN"/>
        </w:rPr>
        <w:tab/>
        <w:t>A.</w:t>
      </w:r>
      <w:r>
        <w:rPr>
          <w:rFonts w:eastAsia="SimSun"/>
          <w:lang w:eastAsia="zh-CN"/>
        </w:rPr>
        <w:tab/>
        <w:t>To p</w:t>
      </w:r>
      <w:r w:rsidRPr="00B2489C">
        <w:rPr>
          <w:rFonts w:eastAsia="SimSun"/>
          <w:lang w:eastAsia="zh-CN"/>
        </w:rPr>
        <w:t xml:space="preserve">rotect individuals from violence </w:t>
      </w:r>
    </w:p>
    <w:p w:rsidR="00E759E1" w:rsidRPr="00B2489C" w:rsidRDefault="00E759E1" w:rsidP="00023DDC">
      <w:pPr>
        <w:pStyle w:val="SingleTxtG"/>
        <w:rPr>
          <w:rFonts w:eastAsia="SimSun"/>
          <w:lang w:eastAsia="zh-CN"/>
        </w:rPr>
      </w:pPr>
      <w:r w:rsidRPr="00B2489C">
        <w:rPr>
          <w:rFonts w:eastAsia="SimSun"/>
          <w:lang w:eastAsia="zh-CN"/>
        </w:rPr>
        <w:t>11.</w:t>
      </w:r>
      <w:r w:rsidRPr="00B2489C">
        <w:rPr>
          <w:rFonts w:eastAsia="SimSun"/>
          <w:lang w:eastAsia="zh-CN"/>
        </w:rPr>
        <w:tab/>
        <w:t xml:space="preserve">States have an obligation to exercise due diligence to prevent, investigate, punish and redress deprivation of life and other acts of violence. United Nations mechanisms have called </w:t>
      </w:r>
      <w:r>
        <w:rPr>
          <w:rFonts w:eastAsia="SimSun"/>
          <w:lang w:eastAsia="zh-CN"/>
        </w:rPr>
        <w:t>up</w:t>
      </w:r>
      <w:r w:rsidRPr="00B2489C">
        <w:rPr>
          <w:rFonts w:eastAsia="SimSun"/>
          <w:lang w:eastAsia="zh-CN"/>
        </w:rPr>
        <w:t>on States to fulfil this obligation by taking legislative and other measures to prohibit, investigate and prosecute all acts of targeted</w:t>
      </w:r>
      <w:r>
        <w:rPr>
          <w:rFonts w:eastAsia="SimSun"/>
          <w:lang w:eastAsia="zh-CN"/>
        </w:rPr>
        <w:t>, hate-motivated</w:t>
      </w:r>
      <w:r w:rsidRPr="00B2489C">
        <w:rPr>
          <w:rFonts w:eastAsia="SimSun"/>
          <w:lang w:eastAsia="zh-CN"/>
        </w:rPr>
        <w:t xml:space="preserve"> violence and incitement to violence directed at LGBT and intersex </w:t>
      </w:r>
      <w:r>
        <w:rPr>
          <w:rFonts w:eastAsia="SimSun"/>
          <w:lang w:eastAsia="zh-CN"/>
        </w:rPr>
        <w:t>persons</w:t>
      </w:r>
      <w:r w:rsidRPr="00B2489C">
        <w:rPr>
          <w:rFonts w:eastAsia="SimSun"/>
          <w:lang w:eastAsia="zh-CN"/>
        </w:rPr>
        <w:t xml:space="preserve">, and </w:t>
      </w:r>
      <w:r>
        <w:rPr>
          <w:rFonts w:eastAsia="SimSun"/>
          <w:lang w:eastAsia="zh-CN"/>
        </w:rPr>
        <w:t xml:space="preserve">to </w:t>
      </w:r>
      <w:r w:rsidRPr="00B2489C">
        <w:rPr>
          <w:rFonts w:eastAsia="SimSun"/>
          <w:lang w:eastAsia="zh-CN"/>
        </w:rPr>
        <w:t>provide remedy to victims and protection against reprisals.</w:t>
      </w:r>
      <w:r w:rsidRPr="00B2489C">
        <w:rPr>
          <w:rFonts w:eastAsia="SimSun"/>
          <w:vertAlign w:val="superscript"/>
          <w:lang w:eastAsia="zh-CN"/>
        </w:rPr>
        <w:footnoteReference w:id="6"/>
      </w:r>
      <w:r w:rsidRPr="00B2489C">
        <w:rPr>
          <w:rFonts w:eastAsia="SimSun"/>
          <w:lang w:eastAsia="zh-CN"/>
        </w:rPr>
        <w:t xml:space="preserve"> They have called for State officials to publically condemn such acts, and to record statistics on such crimes and the outcomes of investigations, prosecutions and remedial measures.</w:t>
      </w:r>
      <w:r w:rsidRPr="00B2489C">
        <w:rPr>
          <w:rFonts w:eastAsia="SimSun"/>
          <w:vertAlign w:val="superscript"/>
          <w:lang w:eastAsia="zh-CN"/>
        </w:rPr>
        <w:footnoteReference w:id="7"/>
      </w:r>
      <w:r w:rsidRPr="00B2489C">
        <w:rPr>
          <w:rFonts w:eastAsia="SimSun"/>
          <w:lang w:eastAsia="zh-CN"/>
        </w:rPr>
        <w:t xml:space="preserve"> The application of the death penalty on the basis of sexual orientation and gender identity violates fundamental State obligations to protect </w:t>
      </w:r>
      <w:r>
        <w:rPr>
          <w:rFonts w:eastAsia="SimSun"/>
          <w:lang w:eastAsia="zh-CN"/>
        </w:rPr>
        <w:t xml:space="preserve">the </w:t>
      </w:r>
      <w:r w:rsidRPr="00B2489C">
        <w:rPr>
          <w:rFonts w:eastAsia="SimSun"/>
          <w:lang w:eastAsia="zh-CN"/>
        </w:rPr>
        <w:t>rights to life, privacy, equality before the law and freedom from discrimination.</w:t>
      </w:r>
      <w:r w:rsidRPr="0035771E">
        <w:rPr>
          <w:rFonts w:eastAsia="SimSun"/>
          <w:sz w:val="18"/>
          <w:szCs w:val="18"/>
          <w:vertAlign w:val="superscript"/>
          <w:lang w:eastAsia="zh-CN"/>
        </w:rPr>
        <w:footnoteReference w:id="8"/>
      </w:r>
    </w:p>
    <w:p w:rsidR="00E759E1" w:rsidRPr="00B2489C" w:rsidRDefault="00E759E1" w:rsidP="00023DDC">
      <w:pPr>
        <w:pStyle w:val="SingleTxtG"/>
        <w:rPr>
          <w:rFonts w:eastAsia="SimSun"/>
          <w:lang w:eastAsia="zh-CN"/>
        </w:rPr>
      </w:pPr>
      <w:r w:rsidRPr="00B2489C">
        <w:rPr>
          <w:rFonts w:eastAsia="SimSun"/>
          <w:lang w:eastAsia="zh-CN"/>
        </w:rPr>
        <w:t>12.</w:t>
      </w:r>
      <w:r w:rsidRPr="00B2489C">
        <w:rPr>
          <w:rFonts w:eastAsia="SimSun"/>
          <w:lang w:eastAsia="zh-CN"/>
        </w:rPr>
        <w:tab/>
        <w:t>States also have an obligation not to return refugees to places where life or freedom would be threatened on account of actual or perceived sexual orientation and gender identity.</w:t>
      </w:r>
      <w:r w:rsidRPr="0035771E">
        <w:rPr>
          <w:rFonts w:eastAsia="SimSun"/>
          <w:sz w:val="18"/>
          <w:szCs w:val="18"/>
          <w:vertAlign w:val="superscript"/>
          <w:lang w:eastAsia="zh-CN"/>
        </w:rPr>
        <w:footnoteReference w:id="9"/>
      </w:r>
    </w:p>
    <w:p w:rsidR="00E759E1" w:rsidRPr="00B2489C" w:rsidRDefault="00E759E1" w:rsidP="00023DDC">
      <w:pPr>
        <w:pStyle w:val="H1G"/>
        <w:spacing w:line="240" w:lineRule="atLeast"/>
        <w:rPr>
          <w:rFonts w:eastAsia="SimSun"/>
          <w:lang w:eastAsia="zh-CN"/>
        </w:rPr>
      </w:pPr>
      <w:r>
        <w:rPr>
          <w:rFonts w:eastAsia="SimSun"/>
          <w:lang w:eastAsia="zh-CN"/>
        </w:rPr>
        <w:tab/>
        <w:t>B.</w:t>
      </w:r>
      <w:r>
        <w:rPr>
          <w:rFonts w:eastAsia="SimSun"/>
          <w:lang w:eastAsia="zh-CN"/>
        </w:rPr>
        <w:tab/>
        <w:t>To p</w:t>
      </w:r>
      <w:r w:rsidRPr="00B2489C">
        <w:rPr>
          <w:rFonts w:eastAsia="SimSun"/>
          <w:lang w:eastAsia="zh-CN"/>
        </w:rPr>
        <w:t>revent torture and ill-treatment</w:t>
      </w:r>
    </w:p>
    <w:p w:rsidR="00E759E1" w:rsidRPr="00B2489C" w:rsidRDefault="00E759E1" w:rsidP="00023DDC">
      <w:pPr>
        <w:pStyle w:val="SingleTxtG"/>
        <w:rPr>
          <w:rFonts w:eastAsia="SimSun"/>
          <w:lang w:eastAsia="zh-CN"/>
        </w:rPr>
      </w:pPr>
      <w:r w:rsidRPr="00B2489C">
        <w:rPr>
          <w:rFonts w:eastAsia="SimSun"/>
          <w:lang w:eastAsia="zh-CN"/>
        </w:rPr>
        <w:t>13.</w:t>
      </w:r>
      <w:r w:rsidRPr="00B2489C">
        <w:rPr>
          <w:rFonts w:eastAsia="SimSun"/>
          <w:lang w:eastAsia="zh-CN"/>
        </w:rPr>
        <w:tab/>
        <w:t>States have an obligation to protect all persons, including LGBT and intersex persons, from torture and other cruel, inhuman or degrading treatment</w:t>
      </w:r>
      <w:r>
        <w:rPr>
          <w:rFonts w:eastAsia="SimSun"/>
          <w:lang w:eastAsia="zh-CN"/>
        </w:rPr>
        <w:t xml:space="preserve"> or punishment</w:t>
      </w:r>
      <w:r w:rsidRPr="00B2489C">
        <w:rPr>
          <w:rFonts w:eastAsia="SimSun"/>
          <w:lang w:eastAsia="zh-CN"/>
        </w:rPr>
        <w:t xml:space="preserve"> in custodial, medical and other settings. This obligation extends to prohibiting, preventing, investigating and providing redress for torture and ill-treatment in all contexts of State control, including by ensuring that such acts are offences under domestic criminal law.</w:t>
      </w:r>
      <w:r w:rsidRPr="00D914BC">
        <w:rPr>
          <w:rStyle w:val="FootnoteReference"/>
          <w:rFonts w:eastAsia="SimSun"/>
        </w:rPr>
        <w:footnoteReference w:id="10"/>
      </w:r>
      <w:r w:rsidRPr="00D914BC">
        <w:rPr>
          <w:rStyle w:val="FootnoteReference"/>
          <w:rFonts w:eastAsia="Times"/>
        </w:rPr>
        <w:t xml:space="preserve"> </w:t>
      </w:r>
      <w:r w:rsidRPr="00B2489C">
        <w:rPr>
          <w:rFonts w:eastAsia="SimSun"/>
          <w:lang w:eastAsia="zh-CN"/>
        </w:rPr>
        <w:t>State responsibility is engaged if public officials, including prison and police officers, directly commit, instigate, incite, encourage, acquiesce in or otherwise participate or are complicit in such acts, as well as if officials fail to prevent, investigate, prosecute and punish such acts by public or private actors.</w:t>
      </w:r>
      <w:r w:rsidRPr="00BF5C18">
        <w:rPr>
          <w:rStyle w:val="FootnoteReference"/>
          <w:rFonts w:eastAsia="SimSun"/>
        </w:rPr>
        <w:footnoteReference w:id="11"/>
      </w:r>
      <w:r w:rsidRPr="00BF5C18">
        <w:rPr>
          <w:rStyle w:val="FootnoteReference"/>
          <w:rFonts w:eastAsia="SimSun"/>
        </w:rPr>
        <w:t xml:space="preserve"> </w:t>
      </w:r>
    </w:p>
    <w:p w:rsidR="00E759E1" w:rsidRPr="00B2489C" w:rsidRDefault="00E759E1" w:rsidP="00023DDC">
      <w:pPr>
        <w:pStyle w:val="SingleTxtG"/>
        <w:rPr>
          <w:rFonts w:eastAsia="SimSun"/>
          <w:lang w:eastAsia="zh-CN"/>
        </w:rPr>
      </w:pPr>
      <w:r w:rsidRPr="00B2489C">
        <w:rPr>
          <w:rFonts w:eastAsia="SimSun"/>
          <w:lang w:eastAsia="zh-CN"/>
        </w:rPr>
        <w:t>14.</w:t>
      </w:r>
      <w:r w:rsidRPr="00B2489C">
        <w:rPr>
          <w:rFonts w:eastAsia="SimSun"/>
          <w:lang w:eastAsia="zh-CN"/>
        </w:rPr>
        <w:tab/>
      </w:r>
      <w:r>
        <w:rPr>
          <w:rFonts w:eastAsia="SimSun"/>
          <w:lang w:eastAsia="zh-CN"/>
        </w:rPr>
        <w:t>The</w:t>
      </w:r>
      <w:r w:rsidRPr="00B2489C">
        <w:rPr>
          <w:rFonts w:eastAsia="SimSun"/>
          <w:lang w:eastAsia="zh-CN"/>
        </w:rPr>
        <w:t xml:space="preserve"> medical practices condemned by United Nations mechanisms in this context </w:t>
      </w:r>
      <w:r>
        <w:rPr>
          <w:rFonts w:eastAsia="SimSun"/>
          <w:lang w:eastAsia="zh-CN"/>
        </w:rPr>
        <w:t>include</w:t>
      </w:r>
      <w:r w:rsidRPr="00B2489C">
        <w:rPr>
          <w:rFonts w:eastAsia="SimSun"/>
          <w:lang w:eastAsia="zh-CN"/>
        </w:rPr>
        <w:t xml:space="preserve"> so-called “conversion” therapy, forced genital and anal examinations, forced and </w:t>
      </w:r>
      <w:r w:rsidRPr="00B2489C">
        <w:rPr>
          <w:rFonts w:eastAsia="SimSun"/>
          <w:lang w:eastAsia="zh-CN"/>
        </w:rPr>
        <w:lastRenderedPageBreak/>
        <w:t>otherwise involuntary sterilization and medically unnecessary surgery and treatment performed on intersex children.</w:t>
      </w:r>
      <w:r w:rsidRPr="00BF5C18">
        <w:rPr>
          <w:rStyle w:val="FootnoteReference"/>
          <w:rFonts w:eastAsia="SimSun"/>
        </w:rPr>
        <w:footnoteReference w:id="12"/>
      </w:r>
    </w:p>
    <w:p w:rsidR="00E759E1" w:rsidRPr="00B2489C" w:rsidRDefault="00E759E1" w:rsidP="00023DDC">
      <w:pPr>
        <w:pStyle w:val="H1G"/>
        <w:spacing w:line="240" w:lineRule="atLeast"/>
        <w:rPr>
          <w:rFonts w:eastAsia="SimSun"/>
          <w:lang w:eastAsia="zh-CN"/>
        </w:rPr>
      </w:pPr>
      <w:r>
        <w:rPr>
          <w:rFonts w:eastAsia="SimSun"/>
          <w:lang w:eastAsia="zh-CN"/>
        </w:rPr>
        <w:tab/>
        <w:t>C.</w:t>
      </w:r>
      <w:r>
        <w:rPr>
          <w:rFonts w:eastAsia="SimSun"/>
          <w:lang w:eastAsia="zh-CN"/>
        </w:rPr>
        <w:tab/>
        <w:t>To d</w:t>
      </w:r>
      <w:r w:rsidRPr="00B2489C">
        <w:rPr>
          <w:rFonts w:eastAsia="SimSun"/>
          <w:lang w:eastAsia="zh-CN"/>
        </w:rPr>
        <w:t xml:space="preserve">ecriminalize homosexuality and </w:t>
      </w:r>
      <w:r>
        <w:rPr>
          <w:rFonts w:eastAsia="SimSun"/>
          <w:lang w:eastAsia="zh-CN"/>
        </w:rPr>
        <w:t xml:space="preserve">to </w:t>
      </w:r>
      <w:r w:rsidRPr="00B2489C">
        <w:rPr>
          <w:rFonts w:eastAsia="SimSun"/>
          <w:lang w:eastAsia="zh-CN"/>
        </w:rPr>
        <w:t>repeal other laws used to punish individuals on the basis of sexual orientation and gender identity</w:t>
      </w:r>
    </w:p>
    <w:p w:rsidR="00E759E1" w:rsidRPr="00B2489C" w:rsidRDefault="00E759E1" w:rsidP="00023DDC">
      <w:pPr>
        <w:pStyle w:val="SingleTxtG"/>
        <w:rPr>
          <w:rFonts w:eastAsia="SimSun"/>
          <w:lang w:eastAsia="zh-CN"/>
        </w:rPr>
      </w:pPr>
      <w:r w:rsidRPr="00B2489C">
        <w:rPr>
          <w:rFonts w:eastAsia="SimSun"/>
          <w:lang w:eastAsia="zh-CN"/>
        </w:rPr>
        <w:t>15.</w:t>
      </w:r>
      <w:r w:rsidRPr="00B2489C">
        <w:rPr>
          <w:rFonts w:eastAsia="SimSun"/>
          <w:lang w:eastAsia="zh-CN"/>
        </w:rPr>
        <w:tab/>
        <w:t xml:space="preserve">States have </w:t>
      </w:r>
      <w:r>
        <w:rPr>
          <w:rFonts w:eastAsia="SimSun"/>
          <w:lang w:eastAsia="zh-CN"/>
        </w:rPr>
        <w:t xml:space="preserve">an </w:t>
      </w:r>
      <w:r w:rsidRPr="00B2489C">
        <w:rPr>
          <w:rFonts w:eastAsia="SimSun"/>
          <w:lang w:eastAsia="zh-CN"/>
        </w:rPr>
        <w:t xml:space="preserve">obligation to protect </w:t>
      </w:r>
      <w:r>
        <w:rPr>
          <w:rFonts w:eastAsia="SimSun"/>
          <w:lang w:eastAsia="zh-CN"/>
        </w:rPr>
        <w:t xml:space="preserve">the </w:t>
      </w:r>
      <w:r w:rsidRPr="00B2489C">
        <w:rPr>
          <w:rFonts w:eastAsia="SimSun"/>
          <w:lang w:eastAsia="zh-CN"/>
        </w:rPr>
        <w:t xml:space="preserve">rights to privacy, liberty and security of the person, including the right not to be subjected to arbitrary arrest and detention. United Nations mechanisms have called </w:t>
      </w:r>
      <w:r>
        <w:rPr>
          <w:rFonts w:eastAsia="SimSun"/>
          <w:lang w:eastAsia="zh-CN"/>
        </w:rPr>
        <w:t>up</w:t>
      </w:r>
      <w:r w:rsidRPr="00B2489C">
        <w:rPr>
          <w:rFonts w:eastAsia="SimSun"/>
          <w:lang w:eastAsia="zh-CN"/>
        </w:rPr>
        <w:t xml:space="preserve">on States to fulfil these obligations by repealing laws used to punish individuals based on their sexual orientation and gender identity, including laws criminalizing homosexuality and cross-dressing, and have rejected attempts to justify such laws on grounds of </w:t>
      </w:r>
      <w:r>
        <w:rPr>
          <w:rFonts w:eastAsia="SimSun"/>
          <w:lang w:eastAsia="zh-CN"/>
        </w:rPr>
        <w:t xml:space="preserve">the </w:t>
      </w:r>
      <w:r w:rsidRPr="00B2489C">
        <w:rPr>
          <w:rFonts w:eastAsia="SimSun"/>
          <w:lang w:eastAsia="zh-CN"/>
        </w:rPr>
        <w:t>protection of public health or morals.</w:t>
      </w:r>
      <w:r w:rsidRPr="0035771E">
        <w:rPr>
          <w:rFonts w:eastAsia="SimSun"/>
          <w:sz w:val="18"/>
          <w:szCs w:val="18"/>
          <w:vertAlign w:val="superscript"/>
          <w:lang w:eastAsia="zh-CN"/>
        </w:rPr>
        <w:footnoteReference w:id="13"/>
      </w:r>
      <w:r w:rsidRPr="00B2489C">
        <w:rPr>
          <w:rFonts w:eastAsia="SimSun"/>
          <w:lang w:eastAsia="zh-CN"/>
        </w:rPr>
        <w:t xml:space="preserve"> States must refrain from arresting or detaining persons on discriminatory grounds, including sexual orientation and gender identity.</w:t>
      </w:r>
      <w:r w:rsidRPr="0035771E">
        <w:rPr>
          <w:rFonts w:eastAsia="SimSun"/>
          <w:sz w:val="18"/>
          <w:szCs w:val="18"/>
          <w:vertAlign w:val="superscript"/>
          <w:lang w:eastAsia="zh-CN"/>
        </w:rPr>
        <w:footnoteReference w:id="14"/>
      </w:r>
    </w:p>
    <w:p w:rsidR="00E759E1" w:rsidRPr="00B2489C" w:rsidRDefault="00E759E1" w:rsidP="00023DDC">
      <w:pPr>
        <w:pStyle w:val="H1G"/>
        <w:spacing w:line="240" w:lineRule="atLeast"/>
        <w:rPr>
          <w:rFonts w:eastAsia="SimSun"/>
          <w:lang w:eastAsia="zh-CN"/>
        </w:rPr>
      </w:pPr>
      <w:r>
        <w:rPr>
          <w:rFonts w:eastAsia="SimSun"/>
          <w:lang w:eastAsia="zh-CN"/>
        </w:rPr>
        <w:tab/>
        <w:t>D.</w:t>
      </w:r>
      <w:r>
        <w:rPr>
          <w:rFonts w:eastAsia="SimSun"/>
          <w:lang w:eastAsia="zh-CN"/>
        </w:rPr>
        <w:tab/>
        <w:t>To p</w:t>
      </w:r>
      <w:r w:rsidRPr="00B2489C">
        <w:rPr>
          <w:rFonts w:eastAsia="SimSun"/>
          <w:lang w:eastAsia="zh-CN"/>
        </w:rPr>
        <w:t>rotect individuals from discrimination on grounds of sexual orientation and gender identity</w:t>
      </w:r>
    </w:p>
    <w:p w:rsidR="00E759E1" w:rsidRPr="00B2489C" w:rsidRDefault="00E759E1" w:rsidP="00023DDC">
      <w:pPr>
        <w:pStyle w:val="SingleTxtG"/>
        <w:rPr>
          <w:rFonts w:eastAsia="SimSun"/>
          <w:lang w:eastAsia="zh-CN"/>
        </w:rPr>
      </w:pPr>
      <w:r w:rsidRPr="00B2489C">
        <w:rPr>
          <w:rFonts w:eastAsia="SimSun"/>
          <w:lang w:eastAsia="zh-CN"/>
        </w:rPr>
        <w:t>16.</w:t>
      </w:r>
      <w:r w:rsidRPr="00B2489C">
        <w:rPr>
          <w:rFonts w:eastAsia="SimSun"/>
          <w:lang w:eastAsia="zh-CN"/>
        </w:rPr>
        <w:tab/>
        <w:t xml:space="preserve">The protection of rights to equality before the law, equal protection of the law and freedom from discrimination is a fundamental obligation of States under international law, and requires States to prohibit and prevent discrimination in private and public spheres, </w:t>
      </w:r>
      <w:r>
        <w:rPr>
          <w:rFonts w:eastAsia="SimSun"/>
          <w:lang w:eastAsia="zh-CN"/>
        </w:rPr>
        <w:t>and</w:t>
      </w:r>
      <w:r w:rsidRPr="00B2489C">
        <w:rPr>
          <w:rFonts w:eastAsia="SimSun"/>
          <w:lang w:eastAsia="zh-CN"/>
        </w:rPr>
        <w:t xml:space="preserve"> to diminish conditions and attitudes that cause or perpetuate such discrimination.</w:t>
      </w:r>
      <w:r w:rsidRPr="0035771E">
        <w:rPr>
          <w:rFonts w:eastAsia="SimSun"/>
          <w:sz w:val="18"/>
          <w:szCs w:val="18"/>
          <w:vertAlign w:val="superscript"/>
          <w:lang w:eastAsia="zh-CN"/>
        </w:rPr>
        <w:footnoteReference w:id="15"/>
      </w:r>
      <w:r w:rsidRPr="00B2489C">
        <w:rPr>
          <w:rFonts w:eastAsia="SimSun"/>
          <w:lang w:eastAsia="zh-CN"/>
        </w:rPr>
        <w:t xml:space="preserve"> To this end, States should enact comprehensive anti-discrimination legislation that includes sexual orientation and gender identity among protected grounds.</w:t>
      </w:r>
      <w:r w:rsidRPr="0035771E">
        <w:rPr>
          <w:rFonts w:eastAsia="SimSun"/>
          <w:sz w:val="18"/>
          <w:szCs w:val="18"/>
          <w:vertAlign w:val="superscript"/>
          <w:lang w:eastAsia="zh-CN"/>
        </w:rPr>
        <w:footnoteReference w:id="16"/>
      </w:r>
      <w:r w:rsidRPr="00B2489C">
        <w:rPr>
          <w:rFonts w:eastAsia="SimSun"/>
          <w:lang w:eastAsia="zh-CN"/>
        </w:rPr>
        <w:t xml:space="preserve"> States should review and repeal discriminatory laws and address discrimination against LGBT and intersex persons, including in </w:t>
      </w:r>
      <w:r>
        <w:rPr>
          <w:rFonts w:eastAsia="SimSun"/>
          <w:lang w:eastAsia="zh-CN"/>
        </w:rPr>
        <w:t xml:space="preserve">the </w:t>
      </w:r>
      <w:r w:rsidRPr="00B2489C">
        <w:rPr>
          <w:rFonts w:eastAsia="SimSun"/>
          <w:lang w:eastAsia="zh-CN"/>
        </w:rPr>
        <w:t xml:space="preserve">enjoyment of </w:t>
      </w:r>
      <w:r>
        <w:rPr>
          <w:rFonts w:eastAsia="SimSun"/>
          <w:lang w:eastAsia="zh-CN"/>
        </w:rPr>
        <w:t xml:space="preserve">the </w:t>
      </w:r>
      <w:r w:rsidRPr="00B2489C">
        <w:rPr>
          <w:rFonts w:eastAsia="SimSun"/>
          <w:lang w:eastAsia="zh-CN"/>
        </w:rPr>
        <w:t>rights to health, education, work, water, adequate housing and social security.</w:t>
      </w:r>
      <w:r w:rsidRPr="0035771E">
        <w:rPr>
          <w:rFonts w:eastAsia="SimSun"/>
          <w:sz w:val="18"/>
          <w:szCs w:val="18"/>
          <w:vertAlign w:val="superscript"/>
          <w:lang w:eastAsia="zh-CN"/>
        </w:rPr>
        <w:footnoteReference w:id="17"/>
      </w:r>
    </w:p>
    <w:p w:rsidR="00E759E1" w:rsidRPr="00B2489C" w:rsidRDefault="00E759E1" w:rsidP="00023DDC">
      <w:pPr>
        <w:pStyle w:val="SingleTxtG"/>
        <w:rPr>
          <w:rFonts w:eastAsia="SimSun"/>
          <w:lang w:eastAsia="zh-CN"/>
        </w:rPr>
      </w:pPr>
      <w:r w:rsidRPr="00B2489C">
        <w:rPr>
          <w:rFonts w:eastAsia="SimSun"/>
          <w:lang w:eastAsia="zh-CN"/>
        </w:rPr>
        <w:t>17.</w:t>
      </w:r>
      <w:r w:rsidRPr="00B2489C">
        <w:rPr>
          <w:rFonts w:eastAsia="SimSun"/>
          <w:lang w:eastAsia="zh-CN"/>
        </w:rPr>
        <w:tab/>
        <w:t>States also have obligations to address discrimination against children and young persons who identify or are perceived as LGBT or intersex. This includes harassment, bullying in schools, lack of access to health information and services, and coercive medical treatment.</w:t>
      </w:r>
      <w:r w:rsidRPr="0035771E">
        <w:rPr>
          <w:rFonts w:eastAsia="SimSun"/>
          <w:sz w:val="18"/>
          <w:szCs w:val="18"/>
          <w:vertAlign w:val="superscript"/>
          <w:lang w:eastAsia="zh-CN"/>
        </w:rPr>
        <w:footnoteReference w:id="18"/>
      </w:r>
      <w:r w:rsidRPr="00B2489C">
        <w:rPr>
          <w:rFonts w:eastAsia="SimSun"/>
          <w:lang w:eastAsia="zh-CN"/>
        </w:rPr>
        <w:t xml:space="preserve"> United Nations mechanisms have called </w:t>
      </w:r>
      <w:r>
        <w:rPr>
          <w:rFonts w:eastAsia="SimSun"/>
          <w:lang w:eastAsia="zh-CN"/>
        </w:rPr>
        <w:t>up</w:t>
      </w:r>
      <w:r w:rsidRPr="00B2489C">
        <w:rPr>
          <w:rFonts w:eastAsia="SimSun"/>
          <w:lang w:eastAsia="zh-CN"/>
        </w:rPr>
        <w:t>on States to legally recogni</w:t>
      </w:r>
      <w:r>
        <w:rPr>
          <w:rFonts w:eastAsia="SimSun"/>
          <w:lang w:eastAsia="zh-CN"/>
        </w:rPr>
        <w:t>z</w:t>
      </w:r>
      <w:r w:rsidRPr="00B2489C">
        <w:rPr>
          <w:rFonts w:eastAsia="SimSun"/>
          <w:lang w:eastAsia="zh-CN"/>
        </w:rPr>
        <w:t>e transgender persons’ preferred gender, without abusive requirements, including sterilization, forced medical treatment or divorce.</w:t>
      </w:r>
      <w:r w:rsidRPr="0035771E">
        <w:rPr>
          <w:rFonts w:eastAsia="SimSun"/>
          <w:sz w:val="18"/>
          <w:szCs w:val="18"/>
          <w:vertAlign w:val="superscript"/>
          <w:lang w:eastAsia="zh-CN"/>
        </w:rPr>
        <w:footnoteReference w:id="19"/>
      </w:r>
      <w:r w:rsidRPr="00B2489C">
        <w:rPr>
          <w:rFonts w:eastAsia="SimSun"/>
          <w:lang w:eastAsia="zh-CN"/>
        </w:rPr>
        <w:t xml:space="preserve"> They have called </w:t>
      </w:r>
      <w:r>
        <w:rPr>
          <w:rFonts w:eastAsia="SimSun"/>
          <w:lang w:eastAsia="zh-CN"/>
        </w:rPr>
        <w:t>up</w:t>
      </w:r>
      <w:r w:rsidRPr="00B2489C">
        <w:rPr>
          <w:rFonts w:eastAsia="SimSun"/>
          <w:lang w:eastAsia="zh-CN"/>
        </w:rPr>
        <w:t xml:space="preserve">on States to develop education campaigns and train public officials to combat stigma and discriminatory attitudes, </w:t>
      </w:r>
      <w:r>
        <w:rPr>
          <w:rFonts w:eastAsia="SimSun"/>
          <w:lang w:eastAsia="zh-CN"/>
        </w:rPr>
        <w:t xml:space="preserve">to </w:t>
      </w:r>
      <w:r w:rsidRPr="00B2489C">
        <w:rPr>
          <w:rFonts w:eastAsia="SimSun"/>
          <w:lang w:eastAsia="zh-CN"/>
        </w:rPr>
        <w:t xml:space="preserve">provide victims of discrimination with effective and appropriate remedies, and </w:t>
      </w:r>
      <w:r>
        <w:rPr>
          <w:rFonts w:eastAsia="SimSun"/>
          <w:lang w:eastAsia="zh-CN"/>
        </w:rPr>
        <w:lastRenderedPageBreak/>
        <w:t xml:space="preserve">to </w:t>
      </w:r>
      <w:r w:rsidRPr="00B2489C">
        <w:rPr>
          <w:rFonts w:eastAsia="SimSun"/>
          <w:lang w:eastAsia="zh-CN"/>
        </w:rPr>
        <w:t>ensure that perpetrators face administrative, civil or criminal responsibility, as appropriate.</w:t>
      </w:r>
      <w:r w:rsidRPr="0035771E">
        <w:rPr>
          <w:rFonts w:eastAsia="SimSun"/>
          <w:sz w:val="18"/>
          <w:vertAlign w:val="superscript"/>
          <w:lang w:eastAsia="zh-CN"/>
        </w:rPr>
        <w:footnoteReference w:id="20"/>
      </w:r>
      <w:r w:rsidRPr="00B2489C">
        <w:rPr>
          <w:rFonts w:eastAsia="SimSun"/>
          <w:lang w:eastAsia="zh-CN"/>
        </w:rPr>
        <w:t xml:space="preserve"> States should also provide legal recognition and protection to same-sex couples</w:t>
      </w:r>
      <w:r w:rsidRPr="0035771E">
        <w:rPr>
          <w:rFonts w:eastAsia="SimSun"/>
          <w:sz w:val="18"/>
          <w:vertAlign w:val="superscript"/>
          <w:lang w:eastAsia="zh-CN"/>
        </w:rPr>
        <w:footnoteReference w:id="21"/>
      </w:r>
      <w:r w:rsidRPr="00B2489C">
        <w:rPr>
          <w:rFonts w:eastAsia="SimSun"/>
          <w:lang w:eastAsia="zh-CN"/>
        </w:rPr>
        <w:t xml:space="preserve"> and protect the rights of their children, without discrimination.</w:t>
      </w:r>
      <w:r w:rsidRPr="0035771E">
        <w:rPr>
          <w:rFonts w:eastAsia="SimSun"/>
          <w:sz w:val="18"/>
          <w:vertAlign w:val="superscript"/>
          <w:lang w:eastAsia="zh-CN"/>
        </w:rPr>
        <w:footnoteReference w:id="22"/>
      </w:r>
    </w:p>
    <w:p w:rsidR="00E759E1" w:rsidRPr="00B2489C" w:rsidRDefault="00E759E1" w:rsidP="00023DDC">
      <w:pPr>
        <w:pStyle w:val="H1G"/>
        <w:spacing w:line="240" w:lineRule="atLeast"/>
        <w:rPr>
          <w:rFonts w:eastAsia="SimSun"/>
          <w:lang w:eastAsia="zh-CN"/>
        </w:rPr>
      </w:pPr>
      <w:r>
        <w:rPr>
          <w:rFonts w:eastAsia="SimSun"/>
          <w:lang w:eastAsia="zh-CN"/>
        </w:rPr>
        <w:tab/>
        <w:t>E.</w:t>
      </w:r>
      <w:r>
        <w:rPr>
          <w:rFonts w:eastAsia="SimSun"/>
          <w:lang w:eastAsia="zh-CN"/>
        </w:rPr>
        <w:tab/>
        <w:t>To p</w:t>
      </w:r>
      <w:r w:rsidRPr="00B2489C">
        <w:rPr>
          <w:rFonts w:eastAsia="SimSun"/>
          <w:lang w:eastAsia="zh-CN"/>
        </w:rPr>
        <w:t>rotect rights to freedom of expression, association</w:t>
      </w:r>
      <w:r w:rsidR="00BE6FAA">
        <w:rPr>
          <w:rFonts w:eastAsia="SimSun"/>
          <w:lang w:eastAsia="zh-CN"/>
        </w:rPr>
        <w:t xml:space="preserve"> and</w:t>
      </w:r>
      <w:r w:rsidRPr="00B2489C">
        <w:rPr>
          <w:rFonts w:eastAsia="SimSun"/>
          <w:lang w:eastAsia="zh-CN"/>
        </w:rPr>
        <w:t xml:space="preserve"> assembly and to take part in the conduct of public affairs</w:t>
      </w:r>
    </w:p>
    <w:p w:rsidR="00E759E1" w:rsidRPr="00B2489C" w:rsidRDefault="00E759E1" w:rsidP="00023DDC">
      <w:pPr>
        <w:pStyle w:val="SingleTxtG"/>
        <w:rPr>
          <w:rFonts w:eastAsia="SimSun"/>
          <w:lang w:eastAsia="zh-CN"/>
        </w:rPr>
      </w:pPr>
      <w:r w:rsidRPr="00B2489C">
        <w:rPr>
          <w:rFonts w:eastAsia="SimSun"/>
          <w:lang w:eastAsia="zh-CN"/>
        </w:rPr>
        <w:t>18.</w:t>
      </w:r>
      <w:r w:rsidRPr="00B2489C">
        <w:rPr>
          <w:rFonts w:eastAsia="SimSun"/>
          <w:lang w:eastAsia="zh-CN"/>
        </w:rPr>
        <w:tab/>
        <w:t xml:space="preserve">States have obligations to protect rights to freedom of thought and expression, association and peaceful assembly without discrimination on </w:t>
      </w:r>
      <w:r>
        <w:rPr>
          <w:rFonts w:eastAsia="SimSun"/>
          <w:lang w:eastAsia="zh-CN"/>
        </w:rPr>
        <w:t xml:space="preserve">the </w:t>
      </w:r>
      <w:r w:rsidRPr="00B2489C">
        <w:rPr>
          <w:rFonts w:eastAsia="SimSun"/>
          <w:lang w:eastAsia="zh-CN"/>
        </w:rPr>
        <w:t xml:space="preserve">grounds of sexual orientation or gender identity. To </w:t>
      </w:r>
      <w:r>
        <w:rPr>
          <w:rFonts w:eastAsia="SimSun"/>
          <w:lang w:eastAsia="zh-CN"/>
        </w:rPr>
        <w:t>that</w:t>
      </w:r>
      <w:r w:rsidRPr="00B2489C">
        <w:rPr>
          <w:rFonts w:eastAsia="SimSun"/>
          <w:lang w:eastAsia="zh-CN"/>
        </w:rPr>
        <w:t xml:space="preserve"> end, they should review and repeal discriminatory provisions in domestic legislation that </w:t>
      </w:r>
      <w:r>
        <w:rPr>
          <w:rFonts w:eastAsia="SimSun"/>
          <w:lang w:eastAsia="zh-CN"/>
        </w:rPr>
        <w:t xml:space="preserve">have a </w:t>
      </w:r>
      <w:r w:rsidRPr="00B2489C">
        <w:rPr>
          <w:rFonts w:eastAsia="SimSun"/>
          <w:lang w:eastAsia="zh-CN"/>
        </w:rPr>
        <w:t xml:space="preserve">disproportionate impact </w:t>
      </w:r>
      <w:r>
        <w:rPr>
          <w:rFonts w:eastAsia="SimSun"/>
          <w:lang w:eastAsia="zh-CN"/>
        </w:rPr>
        <w:t xml:space="preserve">on </w:t>
      </w:r>
      <w:r w:rsidRPr="00B2489C">
        <w:rPr>
          <w:rFonts w:eastAsia="SimSun"/>
          <w:lang w:eastAsia="zh-CN"/>
        </w:rPr>
        <w:t xml:space="preserve">the exercise of these rights by LGBT </w:t>
      </w:r>
      <w:r>
        <w:rPr>
          <w:rFonts w:eastAsia="SimSun"/>
          <w:lang w:eastAsia="zh-CN"/>
        </w:rPr>
        <w:t>persons</w:t>
      </w:r>
      <w:r w:rsidRPr="00B2489C">
        <w:rPr>
          <w:rFonts w:eastAsia="SimSun"/>
          <w:lang w:eastAsia="zh-CN"/>
        </w:rPr>
        <w:t xml:space="preserve"> and others advocating for their rights. States should refrain from directly interfering with these rights and protect LGBT persons exercising these rights from attacks and reprisals through preventive measures and by investigating attacks, prosecuting perpetrators and ensuring remedy for victims.</w:t>
      </w:r>
      <w:r w:rsidRPr="0035771E">
        <w:rPr>
          <w:rFonts w:eastAsia="SimSun"/>
          <w:sz w:val="18"/>
          <w:vertAlign w:val="superscript"/>
          <w:lang w:eastAsia="zh-CN"/>
        </w:rPr>
        <w:footnoteReference w:id="23"/>
      </w:r>
    </w:p>
    <w:p w:rsidR="00E759E1" w:rsidRPr="00B2489C" w:rsidRDefault="00E759E1" w:rsidP="00023DDC">
      <w:pPr>
        <w:pStyle w:val="SingleTxtG"/>
        <w:rPr>
          <w:rFonts w:eastAsia="SimSun"/>
          <w:lang w:eastAsia="zh-CN"/>
        </w:rPr>
      </w:pPr>
      <w:r w:rsidRPr="00B2489C">
        <w:rPr>
          <w:rFonts w:eastAsia="SimSun"/>
          <w:lang w:eastAsia="zh-CN"/>
        </w:rPr>
        <w:t>19.</w:t>
      </w:r>
      <w:r w:rsidRPr="00B2489C">
        <w:rPr>
          <w:rFonts w:eastAsia="SimSun"/>
          <w:lang w:eastAsia="zh-CN"/>
        </w:rPr>
        <w:tab/>
        <w:t>States must protect the right to take part in the conduct of public affairs, without discrimination, and ensure that LGBT and intersex persons and organizations defending their rights are consulted with regard to legislation and policies that affect their rights.</w:t>
      </w:r>
      <w:r w:rsidRPr="0035771E">
        <w:rPr>
          <w:rFonts w:eastAsia="SimSun"/>
          <w:sz w:val="18"/>
          <w:szCs w:val="18"/>
          <w:vertAlign w:val="superscript"/>
          <w:lang w:eastAsia="zh-CN"/>
        </w:rPr>
        <w:footnoteReference w:id="24"/>
      </w:r>
      <w:r w:rsidRPr="00B2489C">
        <w:rPr>
          <w:rFonts w:eastAsia="SimSun"/>
          <w:lang w:eastAsia="zh-CN"/>
        </w:rPr>
        <w:t xml:space="preserve"> States should take measures to empower LGBT and intersex persons, and </w:t>
      </w:r>
      <w:r w:rsidR="00733634">
        <w:rPr>
          <w:rFonts w:eastAsia="SimSun"/>
          <w:lang w:eastAsia="zh-CN"/>
        </w:rPr>
        <w:t xml:space="preserve">to </w:t>
      </w:r>
      <w:r w:rsidRPr="00B2489C">
        <w:rPr>
          <w:rFonts w:eastAsia="SimSun"/>
          <w:lang w:eastAsia="zh-CN"/>
        </w:rPr>
        <w:t>facilitate their participation in economic, social and political life.</w:t>
      </w:r>
      <w:r w:rsidRPr="0035771E">
        <w:rPr>
          <w:rFonts w:eastAsia="SimSun"/>
          <w:sz w:val="18"/>
          <w:szCs w:val="18"/>
          <w:vertAlign w:val="superscript"/>
          <w:lang w:eastAsia="zh-CN"/>
        </w:rPr>
        <w:footnoteReference w:id="25"/>
      </w:r>
    </w:p>
    <w:p w:rsidR="00E759E1" w:rsidRPr="00D914BC" w:rsidRDefault="00E759E1" w:rsidP="00023DDC">
      <w:pPr>
        <w:pStyle w:val="HChG"/>
        <w:spacing w:line="240" w:lineRule="atLeast"/>
        <w:rPr>
          <w:lang w:val="fr-CH" w:eastAsia="zh-CN"/>
        </w:rPr>
      </w:pPr>
      <w:r>
        <w:rPr>
          <w:lang w:eastAsia="zh-CN"/>
        </w:rPr>
        <w:tab/>
      </w:r>
      <w:r w:rsidRPr="00D914BC">
        <w:rPr>
          <w:lang w:val="fr-CH" w:eastAsia="zh-CN"/>
        </w:rPr>
        <w:t>IV.</w:t>
      </w:r>
      <w:r w:rsidRPr="00D914BC">
        <w:rPr>
          <w:lang w:val="fr-CH" w:eastAsia="zh-CN"/>
        </w:rPr>
        <w:tab/>
        <w:t>Homophobic and transphobic violence</w:t>
      </w:r>
      <w:r w:rsidRPr="0035771E">
        <w:rPr>
          <w:rFonts w:eastAsia="SimSun"/>
          <w:b w:val="0"/>
          <w:sz w:val="18"/>
          <w:szCs w:val="18"/>
          <w:vertAlign w:val="superscript"/>
          <w:lang w:eastAsia="zh-CN"/>
        </w:rPr>
        <w:footnoteReference w:id="26"/>
      </w:r>
    </w:p>
    <w:p w:rsidR="00E759E1" w:rsidRPr="002B48C9" w:rsidRDefault="00E759E1" w:rsidP="00023DDC">
      <w:pPr>
        <w:pStyle w:val="H1G"/>
        <w:spacing w:line="240" w:lineRule="atLeast"/>
        <w:rPr>
          <w:lang w:eastAsia="zh-CN"/>
        </w:rPr>
      </w:pPr>
      <w:r w:rsidRPr="00D914BC">
        <w:rPr>
          <w:lang w:val="fr-CH" w:eastAsia="zh-CN"/>
        </w:rPr>
        <w:tab/>
      </w:r>
      <w:r>
        <w:rPr>
          <w:lang w:eastAsia="zh-CN"/>
        </w:rPr>
        <w:t>A.</w:t>
      </w:r>
      <w:r>
        <w:rPr>
          <w:lang w:eastAsia="zh-CN"/>
        </w:rPr>
        <w:tab/>
      </w:r>
      <w:r w:rsidRPr="00B2489C">
        <w:rPr>
          <w:lang w:eastAsia="zh-CN"/>
        </w:rPr>
        <w:t>Context</w:t>
      </w:r>
    </w:p>
    <w:p w:rsidR="00E759E1" w:rsidRDefault="00E759E1" w:rsidP="00023DDC">
      <w:pPr>
        <w:pStyle w:val="SingleTxtG"/>
        <w:rPr>
          <w:lang w:eastAsia="zh-CN"/>
        </w:rPr>
      </w:pPr>
      <w:r w:rsidRPr="00B2489C">
        <w:rPr>
          <w:lang w:eastAsia="zh-CN"/>
        </w:rPr>
        <w:t>20.</w:t>
      </w:r>
      <w:r w:rsidRPr="00B2489C">
        <w:rPr>
          <w:lang w:eastAsia="zh-CN"/>
        </w:rPr>
        <w:tab/>
      </w:r>
      <w:r>
        <w:rPr>
          <w:lang w:eastAsia="zh-CN"/>
        </w:rPr>
        <w:t>D</w:t>
      </w:r>
      <w:r w:rsidRPr="00717F90">
        <w:rPr>
          <w:lang w:eastAsia="zh-CN"/>
        </w:rPr>
        <w:t>ue diligence</w:t>
      </w:r>
      <w:r>
        <w:rPr>
          <w:lang w:eastAsia="zh-CN"/>
        </w:rPr>
        <w:t xml:space="preserve"> requires States </w:t>
      </w:r>
      <w:r w:rsidRPr="00717F90">
        <w:rPr>
          <w:lang w:eastAsia="zh-CN"/>
        </w:rPr>
        <w:t xml:space="preserve">to </w:t>
      </w:r>
      <w:r>
        <w:rPr>
          <w:lang w:eastAsia="zh-CN"/>
        </w:rPr>
        <w:t xml:space="preserve">ensure the protection of those at particular risk of violence – including, in the present context, those targeted because of their sexual orientation and gender identity. </w:t>
      </w:r>
    </w:p>
    <w:p w:rsidR="00E759E1" w:rsidRPr="00B2489C" w:rsidRDefault="00E759E1" w:rsidP="00023DDC">
      <w:pPr>
        <w:pStyle w:val="SingleTxtG"/>
        <w:rPr>
          <w:lang w:eastAsia="zh-CN"/>
        </w:rPr>
      </w:pPr>
      <w:r>
        <w:rPr>
          <w:lang w:eastAsia="zh-CN"/>
        </w:rPr>
        <w:t>21.</w:t>
      </w:r>
      <w:r>
        <w:rPr>
          <w:lang w:eastAsia="zh-CN"/>
        </w:rPr>
        <w:tab/>
        <w:t>United Nations human rights mechanisms continue to receive reports of h</w:t>
      </w:r>
      <w:r w:rsidRPr="00B2489C">
        <w:rPr>
          <w:lang w:eastAsia="zh-CN"/>
        </w:rPr>
        <w:t xml:space="preserve">omophobic and transphobic violence </w:t>
      </w:r>
      <w:r>
        <w:rPr>
          <w:lang w:eastAsia="zh-CN"/>
        </w:rPr>
        <w:t xml:space="preserve">committed </w:t>
      </w:r>
      <w:r w:rsidRPr="00B2489C">
        <w:rPr>
          <w:lang w:eastAsia="zh-CN"/>
        </w:rPr>
        <w:t xml:space="preserve">in all regions. Such violence may be physical (including murder, beatings, kidnapping and sexual assault) or psychological (including threats, coercion and </w:t>
      </w:r>
      <w:r>
        <w:rPr>
          <w:lang w:eastAsia="zh-CN"/>
        </w:rPr>
        <w:t xml:space="preserve">the </w:t>
      </w:r>
      <w:r w:rsidRPr="00B2489C">
        <w:rPr>
          <w:lang w:eastAsia="zh-CN"/>
        </w:rPr>
        <w:t>arbitrary deprivation of liberty, including forced psychiatric incarceration). These attacks constitute a form of gender-based violence, driven by a desire to punish individuals whose appearance or behaviour appears to challenge gender stereotypes.</w:t>
      </w:r>
    </w:p>
    <w:p w:rsidR="00E759E1" w:rsidRPr="00B2489C" w:rsidRDefault="00E759E1" w:rsidP="00023DDC">
      <w:pPr>
        <w:pStyle w:val="SingleTxtG"/>
        <w:rPr>
          <w:lang w:eastAsia="zh-CN"/>
        </w:rPr>
      </w:pPr>
      <w:r w:rsidRPr="00B2489C">
        <w:rPr>
          <w:lang w:eastAsia="zh-CN"/>
        </w:rPr>
        <w:t>2</w:t>
      </w:r>
      <w:r>
        <w:rPr>
          <w:lang w:eastAsia="zh-CN"/>
        </w:rPr>
        <w:t>2</w:t>
      </w:r>
      <w:r w:rsidRPr="00B2489C">
        <w:rPr>
          <w:lang w:eastAsia="zh-CN"/>
        </w:rPr>
        <w:t>.</w:t>
      </w:r>
      <w:r w:rsidRPr="00B2489C">
        <w:rPr>
          <w:lang w:eastAsia="zh-CN"/>
        </w:rPr>
        <w:tab/>
        <w:t xml:space="preserve">In addition to “street” violence and other spontaneous attacks in public settings, those perceived as LGBT remain targets of organized abuse, including by religious </w:t>
      </w:r>
      <w:r w:rsidRPr="00B2489C">
        <w:rPr>
          <w:lang w:eastAsia="zh-CN"/>
        </w:rPr>
        <w:lastRenderedPageBreak/>
        <w:t>extremists, paramilitary groups and extreme nationalists.</w:t>
      </w:r>
      <w:r w:rsidRPr="0035771E">
        <w:rPr>
          <w:rFonts w:eastAsia="SimSun"/>
          <w:sz w:val="18"/>
          <w:vertAlign w:val="superscript"/>
          <w:lang w:eastAsia="zh-CN"/>
        </w:rPr>
        <w:footnoteReference w:id="27"/>
      </w:r>
      <w:r w:rsidRPr="00B2489C">
        <w:rPr>
          <w:lang w:eastAsia="zh-CN"/>
        </w:rPr>
        <w:t xml:space="preserve"> LGBT and gender non-conforming youth are at risk of family and community violence. Lesbians and transgender women are at particular risk because </w:t>
      </w:r>
      <w:r>
        <w:rPr>
          <w:lang w:eastAsia="zh-CN"/>
        </w:rPr>
        <w:t xml:space="preserve">of </w:t>
      </w:r>
      <w:r w:rsidRPr="00B2489C">
        <w:rPr>
          <w:lang w:eastAsia="zh-CN"/>
        </w:rPr>
        <w:t>gender inequality and power relations within families and wider society.</w:t>
      </w:r>
      <w:r w:rsidRPr="0035771E">
        <w:rPr>
          <w:sz w:val="18"/>
          <w:vertAlign w:val="superscript"/>
          <w:lang w:eastAsia="zh-CN"/>
        </w:rPr>
        <w:footnoteReference w:id="28"/>
      </w:r>
    </w:p>
    <w:p w:rsidR="00E759E1" w:rsidRPr="00B2489C" w:rsidRDefault="00E759E1" w:rsidP="00023DDC">
      <w:pPr>
        <w:pStyle w:val="SingleTxtG"/>
        <w:rPr>
          <w:lang w:eastAsia="zh-CN"/>
        </w:rPr>
      </w:pPr>
      <w:r w:rsidRPr="00B2489C">
        <w:rPr>
          <w:lang w:eastAsia="zh-CN"/>
        </w:rPr>
        <w:t>2</w:t>
      </w:r>
      <w:r>
        <w:rPr>
          <w:lang w:eastAsia="zh-CN"/>
        </w:rPr>
        <w:t>3</w:t>
      </w:r>
      <w:r w:rsidRPr="00B2489C">
        <w:rPr>
          <w:lang w:eastAsia="zh-CN"/>
        </w:rPr>
        <w:t>.</w:t>
      </w:r>
      <w:r w:rsidRPr="00B2489C">
        <w:rPr>
          <w:lang w:eastAsia="zh-CN"/>
        </w:rPr>
        <w:tab/>
        <w:t>Violence motivated by homophobia and transphobia is often particularly brutal, and in some instances characterized by levels of cruelty exceeding that of other hate crimes.</w:t>
      </w:r>
      <w:r w:rsidRPr="0035771E">
        <w:rPr>
          <w:rFonts w:eastAsia="SimSun"/>
          <w:sz w:val="18"/>
          <w:vertAlign w:val="superscript"/>
          <w:lang w:eastAsia="zh-CN"/>
        </w:rPr>
        <w:footnoteReference w:id="29"/>
      </w:r>
      <w:r w:rsidRPr="00B2489C">
        <w:rPr>
          <w:lang w:eastAsia="zh-CN"/>
        </w:rPr>
        <w:t xml:space="preserve"> Violent acts include deep knife cuts, anal rape and genital mutilation, as well as stoning and dismemberment.</w:t>
      </w:r>
      <w:r w:rsidRPr="0035771E">
        <w:rPr>
          <w:rFonts w:eastAsia="SimSun"/>
          <w:sz w:val="18"/>
          <w:vertAlign w:val="superscript"/>
          <w:lang w:eastAsia="zh-CN"/>
        </w:rPr>
        <w:footnoteReference w:id="30"/>
      </w:r>
    </w:p>
    <w:p w:rsidR="00E759E1" w:rsidRPr="00B2489C" w:rsidRDefault="00E759E1" w:rsidP="00023DDC">
      <w:pPr>
        <w:pStyle w:val="SingleTxtG"/>
        <w:rPr>
          <w:rFonts w:eastAsia="SimSun"/>
          <w:lang w:eastAsia="zh-CN"/>
        </w:rPr>
      </w:pPr>
      <w:r w:rsidRPr="00B2489C">
        <w:rPr>
          <w:lang w:eastAsia="zh-CN"/>
        </w:rPr>
        <w:t>2</w:t>
      </w:r>
      <w:r>
        <w:rPr>
          <w:lang w:eastAsia="zh-CN"/>
        </w:rPr>
        <w:t>4</w:t>
      </w:r>
      <w:r w:rsidRPr="00B2489C">
        <w:rPr>
          <w:lang w:eastAsia="zh-CN"/>
        </w:rPr>
        <w:t>.</w:t>
      </w:r>
      <w:r w:rsidRPr="00B2489C">
        <w:rPr>
          <w:lang w:eastAsia="zh-CN"/>
        </w:rPr>
        <w:tab/>
        <w:t>United Nations experts have condemned the persistence of impunity for these violations and repeatedly called for investigation, prosecution and punishment, and reparations for victims.</w:t>
      </w:r>
      <w:r w:rsidRPr="0035771E">
        <w:rPr>
          <w:rFonts w:eastAsia="SimSun"/>
          <w:sz w:val="18"/>
          <w:vertAlign w:val="superscript"/>
          <w:lang w:eastAsia="zh-CN"/>
        </w:rPr>
        <w:footnoteReference w:id="31"/>
      </w:r>
      <w:r w:rsidRPr="00B2489C">
        <w:rPr>
          <w:vertAlign w:val="superscript"/>
          <w:lang w:eastAsia="zh-CN"/>
        </w:rPr>
        <w:t xml:space="preserve"> </w:t>
      </w:r>
      <w:r>
        <w:rPr>
          <w:lang w:eastAsia="zh-CN"/>
        </w:rPr>
        <w:t>R</w:t>
      </w:r>
      <w:r w:rsidRPr="00B2489C">
        <w:rPr>
          <w:lang w:eastAsia="zh-CN"/>
        </w:rPr>
        <w:t xml:space="preserve">eported shortcomings </w:t>
      </w:r>
      <w:r>
        <w:rPr>
          <w:lang w:eastAsia="zh-CN"/>
        </w:rPr>
        <w:t>include</w:t>
      </w:r>
      <w:r w:rsidRPr="00B2489C">
        <w:rPr>
          <w:lang w:eastAsia="zh-CN"/>
        </w:rPr>
        <w:t xml:space="preserve"> ineffective police action, failure to register cases, loss of documents, inappropriate classification of acts, including physical assault as </w:t>
      </w:r>
      <w:r>
        <w:rPr>
          <w:lang w:eastAsia="zh-CN"/>
        </w:rPr>
        <w:t xml:space="preserve">a </w:t>
      </w:r>
      <w:r w:rsidRPr="00B2489C">
        <w:rPr>
          <w:lang w:eastAsia="zh-CN"/>
        </w:rPr>
        <w:t>minor offence, and investigations guided by stereotypes and prejudices.</w:t>
      </w:r>
      <w:r w:rsidRPr="0035771E">
        <w:rPr>
          <w:rFonts w:eastAsia="SimSun"/>
          <w:sz w:val="18"/>
          <w:vertAlign w:val="superscript"/>
          <w:lang w:eastAsia="zh-CN"/>
        </w:rPr>
        <w:footnoteReference w:id="32"/>
      </w:r>
      <w:r w:rsidRPr="00B2489C">
        <w:rPr>
          <w:vertAlign w:val="superscript"/>
          <w:lang w:eastAsia="zh-CN"/>
        </w:rPr>
        <w:t xml:space="preserve"> </w:t>
      </w:r>
    </w:p>
    <w:p w:rsidR="00E759E1" w:rsidRPr="00B2489C" w:rsidRDefault="00E759E1" w:rsidP="00023DDC">
      <w:pPr>
        <w:pStyle w:val="SingleTxtG"/>
        <w:rPr>
          <w:lang w:eastAsia="zh-CN"/>
        </w:rPr>
      </w:pPr>
      <w:r w:rsidRPr="00B2489C">
        <w:rPr>
          <w:lang w:eastAsia="zh-CN"/>
        </w:rPr>
        <w:t>2</w:t>
      </w:r>
      <w:r>
        <w:rPr>
          <w:lang w:eastAsia="zh-CN"/>
        </w:rPr>
        <w:t>5</w:t>
      </w:r>
      <w:r w:rsidRPr="00B2489C">
        <w:rPr>
          <w:lang w:eastAsia="zh-CN"/>
        </w:rPr>
        <w:t>.</w:t>
      </w:r>
      <w:r w:rsidRPr="00B2489C">
        <w:rPr>
          <w:lang w:eastAsia="zh-CN"/>
        </w:rPr>
        <w:tab/>
        <w:t xml:space="preserve">In most countries, </w:t>
      </w:r>
      <w:r>
        <w:rPr>
          <w:lang w:eastAsia="zh-CN"/>
        </w:rPr>
        <w:t xml:space="preserve">the </w:t>
      </w:r>
      <w:r w:rsidRPr="00B2489C">
        <w:rPr>
          <w:lang w:eastAsia="zh-CN"/>
        </w:rPr>
        <w:t xml:space="preserve">absence of effective systems for recording and reporting </w:t>
      </w:r>
      <w:r>
        <w:rPr>
          <w:lang w:eastAsia="zh-CN"/>
        </w:rPr>
        <w:t xml:space="preserve">hate-motivated violence, or “hate crimes”, against LGBT persons </w:t>
      </w:r>
      <w:r w:rsidRPr="00B2489C">
        <w:rPr>
          <w:lang w:eastAsia="zh-CN"/>
        </w:rPr>
        <w:t>mask</w:t>
      </w:r>
      <w:r>
        <w:rPr>
          <w:lang w:eastAsia="zh-CN"/>
        </w:rPr>
        <w:t>s</w:t>
      </w:r>
      <w:r w:rsidRPr="00B2489C">
        <w:rPr>
          <w:lang w:eastAsia="zh-CN"/>
        </w:rPr>
        <w:t xml:space="preserve"> the true extent of violence. Where they exist, official statistics tend to understate the number of incidents.</w:t>
      </w:r>
      <w:r w:rsidRPr="0035771E">
        <w:rPr>
          <w:rFonts w:eastAsia="SimSun"/>
          <w:sz w:val="18"/>
          <w:vertAlign w:val="superscript"/>
          <w:lang w:eastAsia="zh-CN"/>
        </w:rPr>
        <w:footnoteReference w:id="33"/>
      </w:r>
      <w:r w:rsidRPr="00B2489C">
        <w:rPr>
          <w:lang w:eastAsia="zh-CN"/>
        </w:rPr>
        <w:t xml:space="preserve"> Victims are often reluctant to report their experiences for fear of extortion, breach of confidentiality </w:t>
      </w:r>
      <w:r>
        <w:rPr>
          <w:lang w:eastAsia="zh-CN"/>
        </w:rPr>
        <w:t>or</w:t>
      </w:r>
      <w:r w:rsidRPr="00B2489C">
        <w:rPr>
          <w:lang w:eastAsia="zh-CN"/>
        </w:rPr>
        <w:t xml:space="preserve"> reprisals. In addition, prejudicial and inexact categorization of cases results in misidentification, concealment and underreporting.</w:t>
      </w:r>
      <w:r w:rsidRPr="0035771E">
        <w:rPr>
          <w:rFonts w:eastAsia="SimSun"/>
          <w:sz w:val="18"/>
          <w:vertAlign w:val="superscript"/>
          <w:lang w:eastAsia="zh-CN"/>
        </w:rPr>
        <w:footnoteReference w:id="34"/>
      </w:r>
      <w:r w:rsidRPr="00B2489C">
        <w:rPr>
          <w:lang w:eastAsia="zh-CN"/>
        </w:rPr>
        <w:t xml:space="preserve"> Failure to investigate, prosecute and punish violations when reported also contribute</w:t>
      </w:r>
      <w:r>
        <w:rPr>
          <w:lang w:eastAsia="zh-CN"/>
        </w:rPr>
        <w:t>s</w:t>
      </w:r>
      <w:r w:rsidRPr="00B2489C">
        <w:rPr>
          <w:lang w:eastAsia="zh-CN"/>
        </w:rPr>
        <w:t xml:space="preserve"> to incomplete assessments of the </w:t>
      </w:r>
      <w:r>
        <w:rPr>
          <w:lang w:eastAsia="zh-CN"/>
        </w:rPr>
        <w:t>scale of</w:t>
      </w:r>
      <w:r w:rsidRPr="00B2489C">
        <w:rPr>
          <w:lang w:eastAsia="zh-CN"/>
        </w:rPr>
        <w:t xml:space="preserve"> violence.</w:t>
      </w:r>
      <w:r w:rsidRPr="0035771E">
        <w:rPr>
          <w:rFonts w:eastAsia="SimSun"/>
          <w:sz w:val="18"/>
          <w:vertAlign w:val="superscript"/>
          <w:lang w:eastAsia="zh-CN"/>
        </w:rPr>
        <w:footnoteReference w:id="35"/>
      </w:r>
    </w:p>
    <w:p w:rsidR="00E759E1" w:rsidRPr="002B48C9" w:rsidRDefault="00E759E1" w:rsidP="00023DDC">
      <w:pPr>
        <w:pStyle w:val="H1G"/>
        <w:spacing w:line="240" w:lineRule="atLeast"/>
        <w:rPr>
          <w:lang w:eastAsia="zh-CN"/>
        </w:rPr>
      </w:pPr>
      <w:r>
        <w:rPr>
          <w:lang w:eastAsia="zh-CN"/>
        </w:rPr>
        <w:tab/>
      </w:r>
      <w:r w:rsidRPr="002B48C9">
        <w:rPr>
          <w:lang w:eastAsia="zh-CN"/>
        </w:rPr>
        <w:t>B.</w:t>
      </w:r>
      <w:r w:rsidRPr="002B48C9">
        <w:rPr>
          <w:lang w:eastAsia="zh-CN"/>
        </w:rPr>
        <w:tab/>
      </w:r>
      <w:r>
        <w:rPr>
          <w:lang w:eastAsia="zh-CN"/>
        </w:rPr>
        <w:t>Killings</w:t>
      </w:r>
    </w:p>
    <w:p w:rsidR="00E759E1" w:rsidRPr="00B2489C" w:rsidRDefault="00E759E1" w:rsidP="00023DDC">
      <w:pPr>
        <w:pStyle w:val="SingleTxtG"/>
        <w:rPr>
          <w:lang w:eastAsia="zh-CN"/>
        </w:rPr>
      </w:pPr>
      <w:r>
        <w:rPr>
          <w:lang w:eastAsia="zh-CN"/>
        </w:rPr>
        <w:t>26.</w:t>
      </w:r>
      <w:r w:rsidRPr="00B2489C">
        <w:rPr>
          <w:lang w:eastAsia="zh-CN"/>
        </w:rPr>
        <w:tab/>
        <w:t xml:space="preserve">Hate-motivated killings of </w:t>
      </w:r>
      <w:r>
        <w:rPr>
          <w:lang w:eastAsia="zh-CN"/>
        </w:rPr>
        <w:t xml:space="preserve">LGBT </w:t>
      </w:r>
      <w:r w:rsidRPr="00B2489C">
        <w:rPr>
          <w:lang w:eastAsia="zh-CN"/>
        </w:rPr>
        <w:t xml:space="preserve">individuals have been documented in all regions. The Special Rapporteur on extrajudicial, </w:t>
      </w:r>
      <w:r w:rsidR="00925E63" w:rsidRPr="00B2489C">
        <w:rPr>
          <w:lang w:eastAsia="zh-CN"/>
        </w:rPr>
        <w:t xml:space="preserve">summary </w:t>
      </w:r>
      <w:r w:rsidR="00925E63">
        <w:rPr>
          <w:lang w:eastAsia="zh-CN"/>
        </w:rPr>
        <w:t xml:space="preserve">or </w:t>
      </w:r>
      <w:r w:rsidRPr="00B2489C">
        <w:rPr>
          <w:lang w:eastAsia="zh-CN"/>
        </w:rPr>
        <w:t>arbitrary executions has noted “grotesque homicides” perpetrated with broad impunity</w:t>
      </w:r>
      <w:r>
        <w:rPr>
          <w:lang w:eastAsia="zh-CN"/>
        </w:rPr>
        <w:t>,</w:t>
      </w:r>
      <w:r w:rsidRPr="00B2489C">
        <w:rPr>
          <w:lang w:eastAsia="zh-CN"/>
        </w:rPr>
        <w:t xml:space="preserve"> allegedly at times with the “complicity of investigative authorities”</w:t>
      </w:r>
      <w:r w:rsidR="00636DCA" w:rsidRPr="00636DCA">
        <w:rPr>
          <w:rFonts w:ascii="Helv" w:hAnsi="Helv" w:cs="Helv"/>
          <w:color w:val="000000"/>
          <w:lang w:eastAsia="en-GB"/>
        </w:rPr>
        <w:t xml:space="preserve"> </w:t>
      </w:r>
      <w:r w:rsidR="00636DCA" w:rsidRPr="0035771E">
        <w:rPr>
          <w:color w:val="000000"/>
          <w:lang w:eastAsia="en-GB"/>
        </w:rPr>
        <w:t>(A/HRC/26/36/Add.1, para. 85)</w:t>
      </w:r>
      <w:r w:rsidRPr="00B2489C">
        <w:rPr>
          <w:lang w:eastAsia="zh-CN"/>
        </w:rPr>
        <w:t>. Treaty bodies, special procedures and U</w:t>
      </w:r>
      <w:r>
        <w:rPr>
          <w:lang w:eastAsia="zh-CN"/>
        </w:rPr>
        <w:t xml:space="preserve">nited </w:t>
      </w:r>
      <w:r w:rsidRPr="00B2489C">
        <w:rPr>
          <w:lang w:eastAsia="zh-CN"/>
        </w:rPr>
        <w:t>N</w:t>
      </w:r>
      <w:r>
        <w:rPr>
          <w:lang w:eastAsia="zh-CN"/>
        </w:rPr>
        <w:t>ations</w:t>
      </w:r>
      <w:r w:rsidRPr="00B2489C">
        <w:rPr>
          <w:lang w:eastAsia="zh-CN"/>
        </w:rPr>
        <w:t xml:space="preserve"> agencies continue to express alarm </w:t>
      </w:r>
      <w:r>
        <w:rPr>
          <w:lang w:eastAsia="zh-CN"/>
        </w:rPr>
        <w:t>at</w:t>
      </w:r>
      <w:r w:rsidRPr="00B2489C">
        <w:rPr>
          <w:lang w:eastAsia="zh-CN"/>
        </w:rPr>
        <w:t xml:space="preserve"> such killings and related patterns of violence, including the murder of transsexual women in Uruguay</w:t>
      </w:r>
      <w:r w:rsidRPr="0035771E">
        <w:rPr>
          <w:rFonts w:eastAsia="SimSun"/>
          <w:sz w:val="18"/>
          <w:vertAlign w:val="superscript"/>
          <w:lang w:eastAsia="zh-CN"/>
        </w:rPr>
        <w:footnoteReference w:id="36"/>
      </w:r>
      <w:r w:rsidRPr="00B2489C">
        <w:rPr>
          <w:lang w:eastAsia="zh-CN"/>
        </w:rPr>
        <w:t xml:space="preserve"> and of </w:t>
      </w:r>
      <w:r>
        <w:rPr>
          <w:lang w:eastAsia="zh-CN"/>
        </w:rPr>
        <w:t>B</w:t>
      </w:r>
      <w:r w:rsidRPr="00B2489C">
        <w:rPr>
          <w:lang w:eastAsia="zh-CN"/>
        </w:rPr>
        <w:t>lack lesbian women in South Africa.</w:t>
      </w:r>
      <w:r w:rsidRPr="0035771E">
        <w:rPr>
          <w:rFonts w:eastAsia="SimSun"/>
          <w:sz w:val="18"/>
          <w:vertAlign w:val="superscript"/>
          <w:lang w:eastAsia="zh-CN"/>
        </w:rPr>
        <w:footnoteReference w:id="37"/>
      </w:r>
      <w:r w:rsidRPr="00B2489C">
        <w:rPr>
          <w:lang w:eastAsia="zh-CN"/>
        </w:rPr>
        <w:t xml:space="preserve"> In an assault in Chile, a gay man was beaten and killed by neo-Nazis</w:t>
      </w:r>
      <w:r>
        <w:rPr>
          <w:lang w:eastAsia="zh-CN"/>
        </w:rPr>
        <w:t>,</w:t>
      </w:r>
      <w:r w:rsidRPr="00B2489C">
        <w:rPr>
          <w:lang w:eastAsia="zh-CN"/>
        </w:rPr>
        <w:t xml:space="preserve"> who burned him with cigarettes and carved swastikas into his body.</w:t>
      </w:r>
      <w:r w:rsidRPr="0035771E">
        <w:rPr>
          <w:rFonts w:eastAsia="SimSun"/>
          <w:sz w:val="18"/>
          <w:vertAlign w:val="superscript"/>
          <w:lang w:eastAsia="zh-CN"/>
        </w:rPr>
        <w:footnoteReference w:id="38"/>
      </w:r>
    </w:p>
    <w:p w:rsidR="00E759E1" w:rsidRPr="00B2489C" w:rsidRDefault="00E759E1" w:rsidP="00023DDC">
      <w:pPr>
        <w:pStyle w:val="SingleTxtG"/>
        <w:rPr>
          <w:lang w:eastAsia="zh-CN"/>
        </w:rPr>
      </w:pPr>
      <w:r w:rsidRPr="00B2489C">
        <w:rPr>
          <w:lang w:eastAsia="zh-CN"/>
        </w:rPr>
        <w:lastRenderedPageBreak/>
        <w:t>2</w:t>
      </w:r>
      <w:r>
        <w:rPr>
          <w:lang w:eastAsia="zh-CN"/>
        </w:rPr>
        <w:t>7</w:t>
      </w:r>
      <w:r w:rsidRPr="00B2489C">
        <w:rPr>
          <w:lang w:eastAsia="zh-CN"/>
        </w:rPr>
        <w:t>.</w:t>
      </w:r>
      <w:r w:rsidRPr="00B2489C">
        <w:rPr>
          <w:lang w:eastAsia="zh-CN"/>
        </w:rPr>
        <w:tab/>
        <w:t xml:space="preserve">Data </w:t>
      </w:r>
      <w:r>
        <w:rPr>
          <w:lang w:eastAsia="zh-CN"/>
        </w:rPr>
        <w:t>are</w:t>
      </w:r>
      <w:r w:rsidRPr="00B2489C">
        <w:rPr>
          <w:lang w:eastAsia="zh-CN"/>
        </w:rPr>
        <w:t xml:space="preserve"> patchy but, wherever available, suggest alarming</w:t>
      </w:r>
      <w:r>
        <w:rPr>
          <w:lang w:eastAsia="zh-CN"/>
        </w:rPr>
        <w:t>ly</w:t>
      </w:r>
      <w:r w:rsidRPr="00B2489C">
        <w:rPr>
          <w:lang w:eastAsia="zh-CN"/>
        </w:rPr>
        <w:t xml:space="preserve"> high rates of homicidal violence. In Brazil, one of relatively few countries where the Government publishes an annual report on homophobic violence, the authorities documented 310 murders in 2012 in which homophobia or transphobia was a motive.</w:t>
      </w:r>
      <w:r w:rsidRPr="0035771E">
        <w:rPr>
          <w:sz w:val="18"/>
          <w:vertAlign w:val="superscript"/>
          <w:lang w:eastAsia="zh-CN"/>
        </w:rPr>
        <w:footnoteReference w:id="39"/>
      </w:r>
      <w:r w:rsidRPr="00B2489C">
        <w:rPr>
          <w:lang w:eastAsia="zh-CN"/>
        </w:rPr>
        <w:t xml:space="preserve"> The Inter-American Commission on Human Rights reported 594 hate-related killings of LGBT persons in the 25 States </w:t>
      </w:r>
      <w:r>
        <w:rPr>
          <w:lang w:eastAsia="zh-CN"/>
        </w:rPr>
        <w:t>m</w:t>
      </w:r>
      <w:r w:rsidRPr="00B2489C">
        <w:rPr>
          <w:lang w:eastAsia="zh-CN"/>
        </w:rPr>
        <w:t>ember</w:t>
      </w:r>
      <w:r>
        <w:rPr>
          <w:lang w:eastAsia="zh-CN"/>
        </w:rPr>
        <w:t>s</w:t>
      </w:r>
      <w:r w:rsidRPr="00B2489C">
        <w:rPr>
          <w:lang w:eastAsia="zh-CN"/>
        </w:rPr>
        <w:t xml:space="preserve"> of the Organization of American States between January 2013 and March 2014.</w:t>
      </w:r>
      <w:r w:rsidRPr="0035771E">
        <w:rPr>
          <w:rFonts w:eastAsia="SimSun"/>
          <w:sz w:val="18"/>
          <w:vertAlign w:val="superscript"/>
          <w:lang w:eastAsia="zh-CN"/>
        </w:rPr>
        <w:footnoteReference w:id="40"/>
      </w:r>
      <w:r w:rsidRPr="00B2489C">
        <w:rPr>
          <w:lang w:eastAsia="zh-CN"/>
        </w:rPr>
        <w:t xml:space="preserve"> </w:t>
      </w:r>
      <w:r w:rsidR="00100286">
        <w:rPr>
          <w:lang w:eastAsia="zh-CN"/>
        </w:rPr>
        <w:t>In its resolution 275, t</w:t>
      </w:r>
      <w:r w:rsidRPr="00B2489C">
        <w:rPr>
          <w:lang w:eastAsia="zh-CN"/>
        </w:rPr>
        <w:t>he African Commission on Human and Peoples</w:t>
      </w:r>
      <w:r>
        <w:rPr>
          <w:lang w:eastAsia="zh-CN"/>
        </w:rPr>
        <w:t>’</w:t>
      </w:r>
      <w:r w:rsidRPr="00B2489C">
        <w:rPr>
          <w:lang w:eastAsia="zh-CN"/>
        </w:rPr>
        <w:t xml:space="preserve"> Rights condemned increasing violence and other human rights violations based on imputed or real sexual orientation or gender identity. The European Parliament </w:t>
      </w:r>
      <w:r w:rsidR="004215A5">
        <w:rPr>
          <w:lang w:eastAsia="zh-CN"/>
        </w:rPr>
        <w:t>(</w:t>
      </w:r>
      <w:r w:rsidR="004215A5">
        <w:t>r</w:t>
      </w:r>
      <w:r w:rsidR="004215A5" w:rsidRPr="002A4B9E">
        <w:t xml:space="preserve">esolution </w:t>
      </w:r>
      <w:hyperlink r:id="rId14" w:history="1">
        <w:r w:rsidR="004215A5" w:rsidRPr="002A4B9E">
          <w:rPr>
            <w:bCs/>
          </w:rPr>
          <w:t>2013/2183(INI)</w:t>
        </w:r>
      </w:hyperlink>
      <w:r w:rsidR="004215A5" w:rsidRPr="002A4B9E">
        <w:rPr>
          <w:bCs/>
        </w:rPr>
        <w:t xml:space="preserve"> </w:t>
      </w:r>
      <w:r w:rsidRPr="00B2489C">
        <w:rPr>
          <w:lang w:eastAsia="zh-CN"/>
        </w:rPr>
        <w:t xml:space="preserve">and the Council of Europe </w:t>
      </w:r>
      <w:r w:rsidR="004215A5">
        <w:rPr>
          <w:lang w:eastAsia="zh-CN"/>
        </w:rPr>
        <w:t>(</w:t>
      </w:r>
      <w:r w:rsidR="004215A5">
        <w:rPr>
          <w:bCs/>
        </w:rPr>
        <w:t>r</w:t>
      </w:r>
      <w:r w:rsidR="004215A5" w:rsidRPr="002A4B9E">
        <w:rPr>
          <w:bCs/>
        </w:rPr>
        <w:t xml:space="preserve">esolution 1948 (2013) </w:t>
      </w:r>
      <w:r w:rsidRPr="00B2489C">
        <w:rPr>
          <w:lang w:eastAsia="zh-CN"/>
        </w:rPr>
        <w:t>have also regularly expressed their concerns.</w:t>
      </w:r>
    </w:p>
    <w:p w:rsidR="00E759E1" w:rsidRPr="00B2489C" w:rsidRDefault="00E759E1" w:rsidP="00023DDC">
      <w:pPr>
        <w:pStyle w:val="SingleTxtG"/>
        <w:rPr>
          <w:lang w:eastAsia="zh-CN"/>
        </w:rPr>
      </w:pPr>
      <w:r w:rsidRPr="00B2489C">
        <w:rPr>
          <w:lang w:eastAsia="zh-CN"/>
        </w:rPr>
        <w:t>2</w:t>
      </w:r>
      <w:r>
        <w:rPr>
          <w:lang w:eastAsia="zh-CN"/>
        </w:rPr>
        <w:t>8</w:t>
      </w:r>
      <w:r w:rsidRPr="00B2489C">
        <w:rPr>
          <w:lang w:eastAsia="zh-CN"/>
        </w:rPr>
        <w:t>.</w:t>
      </w:r>
      <w:r w:rsidRPr="00B2489C">
        <w:rPr>
          <w:lang w:eastAsia="zh-CN"/>
        </w:rPr>
        <w:tab/>
        <w:t>Reporting from non-governmental organizations underscores the prevalence of fatal violence</w:t>
      </w:r>
      <w:r>
        <w:rPr>
          <w:lang w:eastAsia="zh-CN"/>
        </w:rPr>
        <w:t>.</w:t>
      </w:r>
      <w:r w:rsidRPr="00B2489C">
        <w:rPr>
          <w:lang w:eastAsia="zh-CN"/>
        </w:rPr>
        <w:t xml:space="preserve"> The Trans Murder Monitoring project, which collects reports of homicides of transgender persons in all regions, lists 1,612 murders in 62 countries between 2008 and 2014</w:t>
      </w:r>
      <w:r>
        <w:rPr>
          <w:lang w:eastAsia="zh-CN"/>
        </w:rPr>
        <w:t>,</w:t>
      </w:r>
      <w:r w:rsidRPr="00B2489C">
        <w:rPr>
          <w:lang w:eastAsia="zh-CN"/>
        </w:rPr>
        <w:t xml:space="preserve"> equivalent to a killing every two days.</w:t>
      </w:r>
      <w:r w:rsidRPr="0035771E">
        <w:rPr>
          <w:rFonts w:eastAsia="SimSun"/>
          <w:sz w:val="18"/>
          <w:szCs w:val="18"/>
          <w:vertAlign w:val="superscript"/>
          <w:lang w:eastAsia="zh-CN"/>
        </w:rPr>
        <w:footnoteReference w:id="41"/>
      </w:r>
      <w:r w:rsidRPr="00B2489C">
        <w:rPr>
          <w:lang w:eastAsia="zh-CN"/>
        </w:rPr>
        <w:t xml:space="preserve"> The National Coalition of Anti-Violence Programs in the United States</w:t>
      </w:r>
      <w:r>
        <w:rPr>
          <w:lang w:eastAsia="zh-CN"/>
        </w:rPr>
        <w:t xml:space="preserve"> of America</w:t>
      </w:r>
      <w:r w:rsidRPr="00B2489C">
        <w:rPr>
          <w:lang w:eastAsia="zh-CN"/>
        </w:rPr>
        <w:t xml:space="preserve"> reported 18 hate violence homicides and 2,001 incidents of anti-LGBT violence in the U</w:t>
      </w:r>
      <w:r>
        <w:rPr>
          <w:lang w:eastAsia="zh-CN"/>
        </w:rPr>
        <w:t xml:space="preserve">nited </w:t>
      </w:r>
      <w:r w:rsidRPr="00B2489C">
        <w:rPr>
          <w:lang w:eastAsia="zh-CN"/>
        </w:rPr>
        <w:t>S</w:t>
      </w:r>
      <w:r>
        <w:rPr>
          <w:lang w:eastAsia="zh-CN"/>
        </w:rPr>
        <w:t>tates</w:t>
      </w:r>
      <w:r w:rsidRPr="00B2489C">
        <w:rPr>
          <w:lang w:eastAsia="zh-CN"/>
        </w:rPr>
        <w:t xml:space="preserve"> in 2013.</w:t>
      </w:r>
      <w:r w:rsidRPr="0035771E">
        <w:rPr>
          <w:rFonts w:eastAsia="SimSun"/>
          <w:sz w:val="18"/>
          <w:vertAlign w:val="superscript"/>
          <w:lang w:eastAsia="zh-CN"/>
        </w:rPr>
        <w:footnoteReference w:id="42"/>
      </w:r>
      <w:r w:rsidRPr="00B2489C">
        <w:rPr>
          <w:lang w:eastAsia="zh-CN"/>
        </w:rPr>
        <w:t xml:space="preserve"> </w:t>
      </w:r>
    </w:p>
    <w:p w:rsidR="00E759E1" w:rsidRPr="00B2489C" w:rsidRDefault="00E759E1" w:rsidP="00023DDC">
      <w:pPr>
        <w:pStyle w:val="SingleTxtG"/>
        <w:rPr>
          <w:lang w:eastAsia="zh-CN"/>
        </w:rPr>
      </w:pPr>
      <w:r w:rsidRPr="00B2489C">
        <w:rPr>
          <w:lang w:eastAsia="zh-CN"/>
        </w:rPr>
        <w:t>2</w:t>
      </w:r>
      <w:r>
        <w:rPr>
          <w:lang w:eastAsia="zh-CN"/>
        </w:rPr>
        <w:t>9</w:t>
      </w:r>
      <w:r w:rsidRPr="00B2489C">
        <w:rPr>
          <w:lang w:eastAsia="zh-CN"/>
        </w:rPr>
        <w:t>.</w:t>
      </w:r>
      <w:r w:rsidRPr="00B2489C">
        <w:rPr>
          <w:lang w:eastAsia="zh-CN"/>
        </w:rPr>
        <w:tab/>
      </w:r>
      <w:r>
        <w:rPr>
          <w:lang w:eastAsia="zh-CN"/>
        </w:rPr>
        <w:t xml:space="preserve">Terrorist </w:t>
      </w:r>
      <w:r w:rsidRPr="00B2489C">
        <w:rPr>
          <w:lang w:eastAsia="zh-CN"/>
        </w:rPr>
        <w:t>groups may target LGBT persons for punishment, including killings.</w:t>
      </w:r>
      <w:r w:rsidRPr="0035771E">
        <w:rPr>
          <w:sz w:val="18"/>
          <w:szCs w:val="18"/>
          <w:vertAlign w:val="superscript"/>
          <w:lang w:eastAsia="zh-CN"/>
        </w:rPr>
        <w:footnoteReference w:id="43"/>
      </w:r>
      <w:r w:rsidRPr="00B2489C">
        <w:rPr>
          <w:lang w:eastAsia="zh-CN"/>
        </w:rPr>
        <w:t xml:space="preserve"> In February 2015, photos appeared to show several men, allegedly accused of homosexual acts, being pushed off a tower to their deaths by militants </w:t>
      </w:r>
      <w:r>
        <w:rPr>
          <w:lang w:eastAsia="zh-CN"/>
        </w:rPr>
        <w:t>of</w:t>
      </w:r>
      <w:r w:rsidRPr="00B2489C">
        <w:rPr>
          <w:lang w:eastAsia="zh-CN"/>
        </w:rPr>
        <w:t xml:space="preserve"> the so-called Islamic State in Iraq and the Levant (ISIL).</w:t>
      </w:r>
      <w:r w:rsidRPr="0035771E">
        <w:rPr>
          <w:sz w:val="18"/>
          <w:vertAlign w:val="superscript"/>
          <w:lang w:eastAsia="zh-CN"/>
        </w:rPr>
        <w:footnoteReference w:id="44"/>
      </w:r>
    </w:p>
    <w:p w:rsidR="00E759E1" w:rsidRPr="00B2489C" w:rsidRDefault="00E759E1" w:rsidP="00023DDC">
      <w:pPr>
        <w:pStyle w:val="SingleTxtG"/>
        <w:rPr>
          <w:lang w:eastAsia="zh-CN"/>
        </w:rPr>
      </w:pPr>
      <w:r>
        <w:rPr>
          <w:lang w:eastAsia="zh-CN"/>
        </w:rPr>
        <w:t>30</w:t>
      </w:r>
      <w:r w:rsidRPr="00B2489C">
        <w:rPr>
          <w:lang w:eastAsia="zh-CN"/>
        </w:rPr>
        <w:t>.</w:t>
      </w:r>
      <w:r w:rsidRPr="00B2489C">
        <w:rPr>
          <w:lang w:eastAsia="zh-CN"/>
        </w:rPr>
        <w:tab/>
        <w:t>LGBT persons have also been victims of so-called “honour” killings, carried out against those seen by family or community members to have brought shame on a family, often for transgressing gender norms or for sexual behaviour, including actual or assumed homosexual conduct.</w:t>
      </w:r>
      <w:r w:rsidRPr="0035771E">
        <w:rPr>
          <w:rFonts w:eastAsia="SimSun"/>
          <w:sz w:val="18"/>
          <w:vertAlign w:val="superscript"/>
          <w:lang w:eastAsia="zh-CN"/>
        </w:rPr>
        <w:footnoteReference w:id="45"/>
      </w:r>
      <w:r w:rsidRPr="00B2489C">
        <w:rPr>
          <w:lang w:eastAsia="zh-CN"/>
        </w:rPr>
        <w:t xml:space="preserve"> </w:t>
      </w:r>
    </w:p>
    <w:p w:rsidR="00E759E1" w:rsidRPr="002B48C9" w:rsidRDefault="00E759E1" w:rsidP="00023DDC">
      <w:pPr>
        <w:pStyle w:val="H1G"/>
        <w:spacing w:line="240" w:lineRule="atLeast"/>
        <w:rPr>
          <w:lang w:eastAsia="zh-CN"/>
        </w:rPr>
      </w:pPr>
      <w:r>
        <w:rPr>
          <w:lang w:eastAsia="zh-CN"/>
        </w:rPr>
        <w:tab/>
      </w:r>
      <w:r w:rsidRPr="002B48C9">
        <w:rPr>
          <w:lang w:eastAsia="zh-CN"/>
        </w:rPr>
        <w:t>C.</w:t>
      </w:r>
      <w:r w:rsidRPr="002B48C9">
        <w:rPr>
          <w:lang w:eastAsia="zh-CN"/>
        </w:rPr>
        <w:tab/>
        <w:t>Other violence, including sexual violence</w:t>
      </w:r>
    </w:p>
    <w:p w:rsidR="00E759E1" w:rsidRPr="00B2489C" w:rsidRDefault="00E759E1" w:rsidP="00023DDC">
      <w:pPr>
        <w:pStyle w:val="SingleTxtG"/>
        <w:rPr>
          <w:lang w:eastAsia="zh-CN"/>
        </w:rPr>
      </w:pPr>
      <w:r w:rsidRPr="00B2489C">
        <w:rPr>
          <w:lang w:eastAsia="zh-CN"/>
        </w:rPr>
        <w:t>3</w:t>
      </w:r>
      <w:r>
        <w:rPr>
          <w:lang w:eastAsia="zh-CN"/>
        </w:rPr>
        <w:t>1</w:t>
      </w:r>
      <w:r w:rsidRPr="00B2489C">
        <w:rPr>
          <w:lang w:eastAsia="zh-CN"/>
        </w:rPr>
        <w:t>.</w:t>
      </w:r>
      <w:r w:rsidRPr="00B2489C">
        <w:rPr>
          <w:lang w:eastAsia="zh-CN"/>
        </w:rPr>
        <w:tab/>
        <w:t xml:space="preserve">United Nations experts continue to express </w:t>
      </w:r>
      <w:r>
        <w:rPr>
          <w:lang w:eastAsia="zh-CN"/>
        </w:rPr>
        <w:t xml:space="preserve">their </w:t>
      </w:r>
      <w:r w:rsidRPr="00B2489C">
        <w:rPr>
          <w:lang w:eastAsia="zh-CN"/>
        </w:rPr>
        <w:t xml:space="preserve">alarm </w:t>
      </w:r>
      <w:r>
        <w:rPr>
          <w:lang w:eastAsia="zh-CN"/>
        </w:rPr>
        <w:t>at</w:t>
      </w:r>
      <w:r w:rsidRPr="00B2489C">
        <w:rPr>
          <w:lang w:eastAsia="zh-CN"/>
        </w:rPr>
        <w:t xml:space="preserve"> non-lethal violence directed at individuals on </w:t>
      </w:r>
      <w:r>
        <w:rPr>
          <w:lang w:eastAsia="zh-CN"/>
        </w:rPr>
        <w:t xml:space="preserve">the </w:t>
      </w:r>
      <w:r w:rsidRPr="00B2489C">
        <w:rPr>
          <w:lang w:eastAsia="zh-CN"/>
        </w:rPr>
        <w:t xml:space="preserve">grounds of their sexual orientation or gender identity. Examples include cases of gay men </w:t>
      </w:r>
      <w:r>
        <w:rPr>
          <w:lang w:eastAsia="zh-CN"/>
        </w:rPr>
        <w:t xml:space="preserve">who have been </w:t>
      </w:r>
      <w:r w:rsidRPr="00B2489C">
        <w:rPr>
          <w:lang w:eastAsia="zh-CN"/>
        </w:rPr>
        <w:t>kidnapped, beaten and humiliated, with film clips of their abuse shared on social media</w:t>
      </w:r>
      <w:r>
        <w:rPr>
          <w:lang w:eastAsia="zh-CN"/>
        </w:rPr>
        <w:t>,</w:t>
      </w:r>
      <w:r w:rsidRPr="0035771E">
        <w:rPr>
          <w:rFonts w:eastAsia="SimSun"/>
          <w:sz w:val="18"/>
          <w:vertAlign w:val="superscript"/>
          <w:lang w:eastAsia="zh-CN"/>
        </w:rPr>
        <w:footnoteReference w:id="46"/>
      </w:r>
      <w:r>
        <w:rPr>
          <w:lang w:eastAsia="zh-CN"/>
        </w:rPr>
        <w:t xml:space="preserve"> and of </w:t>
      </w:r>
      <w:r w:rsidRPr="00B2489C">
        <w:rPr>
          <w:lang w:eastAsia="zh-CN"/>
        </w:rPr>
        <w:t>lesbians assaulted and raped because of their sexual orientation.</w:t>
      </w:r>
      <w:r w:rsidRPr="0035771E">
        <w:rPr>
          <w:rFonts w:eastAsia="SimSun"/>
          <w:sz w:val="18"/>
          <w:vertAlign w:val="superscript"/>
          <w:lang w:eastAsia="zh-CN"/>
        </w:rPr>
        <w:footnoteReference w:id="47"/>
      </w:r>
      <w:r w:rsidRPr="00B2489C">
        <w:rPr>
          <w:lang w:eastAsia="zh-CN"/>
        </w:rPr>
        <w:t xml:space="preserve"> In </w:t>
      </w:r>
      <w:r>
        <w:rPr>
          <w:lang w:eastAsia="zh-CN"/>
        </w:rPr>
        <w:t xml:space="preserve">the </w:t>
      </w:r>
      <w:r w:rsidRPr="00B2489C">
        <w:rPr>
          <w:lang w:eastAsia="zh-CN"/>
        </w:rPr>
        <w:t>Syria</w:t>
      </w:r>
      <w:r>
        <w:rPr>
          <w:lang w:eastAsia="zh-CN"/>
        </w:rPr>
        <w:t>n Arab Republic</w:t>
      </w:r>
      <w:r w:rsidRPr="00B2489C">
        <w:rPr>
          <w:lang w:eastAsia="zh-CN"/>
        </w:rPr>
        <w:t xml:space="preserve">, there have been reports of rape and torture of men assumed to be gay perpetrated by security agents </w:t>
      </w:r>
      <w:r>
        <w:rPr>
          <w:lang w:eastAsia="zh-CN"/>
        </w:rPr>
        <w:t xml:space="preserve">and by </w:t>
      </w:r>
      <w:r w:rsidRPr="00B2489C">
        <w:rPr>
          <w:lang w:eastAsia="zh-CN"/>
        </w:rPr>
        <w:t>non-State armed groups.</w:t>
      </w:r>
      <w:r w:rsidRPr="0035771E">
        <w:rPr>
          <w:rFonts w:eastAsia="SimSun"/>
          <w:sz w:val="18"/>
          <w:vertAlign w:val="superscript"/>
          <w:lang w:eastAsia="zh-CN"/>
        </w:rPr>
        <w:footnoteReference w:id="48"/>
      </w:r>
      <w:r w:rsidRPr="00B2489C">
        <w:rPr>
          <w:lang w:eastAsia="zh-CN"/>
        </w:rPr>
        <w:t xml:space="preserve"> Concerns have also been expressed about the risk to human rights </w:t>
      </w:r>
      <w:r w:rsidRPr="00B2489C">
        <w:rPr>
          <w:lang w:eastAsia="zh-CN"/>
        </w:rPr>
        <w:lastRenderedPageBreak/>
        <w:t>defenders working to uphold the rights of LGBT persons, some of whom have been subjected to violence, threats and verbal denigration.</w:t>
      </w:r>
      <w:r w:rsidRPr="0035771E">
        <w:rPr>
          <w:sz w:val="18"/>
          <w:vertAlign w:val="superscript"/>
          <w:lang w:eastAsia="zh-CN"/>
        </w:rPr>
        <w:footnoteReference w:id="49"/>
      </w:r>
    </w:p>
    <w:p w:rsidR="00E759E1" w:rsidRPr="00B2489C" w:rsidRDefault="00E759E1" w:rsidP="00023DDC">
      <w:pPr>
        <w:pStyle w:val="SingleTxtG"/>
        <w:rPr>
          <w:lang w:eastAsia="zh-CN"/>
        </w:rPr>
      </w:pPr>
      <w:r w:rsidRPr="00B2489C">
        <w:rPr>
          <w:lang w:eastAsia="zh-CN"/>
        </w:rPr>
        <w:t>3</w:t>
      </w:r>
      <w:r>
        <w:rPr>
          <w:lang w:eastAsia="zh-CN"/>
        </w:rPr>
        <w:t>2</w:t>
      </w:r>
      <w:r w:rsidRPr="00B2489C">
        <w:rPr>
          <w:lang w:eastAsia="zh-CN"/>
        </w:rPr>
        <w:t>.</w:t>
      </w:r>
      <w:r w:rsidRPr="00B2489C">
        <w:rPr>
          <w:lang w:eastAsia="zh-CN"/>
        </w:rPr>
        <w:tab/>
        <w:t xml:space="preserve">In the United States, recent </w:t>
      </w:r>
      <w:r>
        <w:rPr>
          <w:lang w:eastAsia="zh-CN"/>
        </w:rPr>
        <w:t>g</w:t>
      </w:r>
      <w:r w:rsidRPr="00B2489C">
        <w:rPr>
          <w:lang w:eastAsia="zh-CN"/>
        </w:rPr>
        <w:t xml:space="preserve">overnment figures show </w:t>
      </w:r>
      <w:r>
        <w:rPr>
          <w:lang w:eastAsia="zh-CN"/>
        </w:rPr>
        <w:t xml:space="preserve">that the </w:t>
      </w:r>
      <w:r w:rsidRPr="00B2489C">
        <w:rPr>
          <w:lang w:eastAsia="zh-CN"/>
        </w:rPr>
        <w:t>number of bias-motivated incidents based on sexual orientation rank</w:t>
      </w:r>
      <w:r>
        <w:rPr>
          <w:lang w:eastAsia="zh-CN"/>
        </w:rPr>
        <w:t>s</w:t>
      </w:r>
      <w:r w:rsidRPr="00B2489C">
        <w:rPr>
          <w:lang w:eastAsia="zh-CN"/>
        </w:rPr>
        <w:t xml:space="preserve"> second only to racist incidents among single-bias hate crimes.</w:t>
      </w:r>
      <w:r w:rsidRPr="0035771E">
        <w:rPr>
          <w:rFonts w:eastAsia="SimSun"/>
          <w:sz w:val="18"/>
          <w:vertAlign w:val="superscript"/>
          <w:lang w:eastAsia="zh-CN"/>
        </w:rPr>
        <w:footnoteReference w:id="50"/>
      </w:r>
      <w:r w:rsidRPr="00B2489C">
        <w:rPr>
          <w:lang w:eastAsia="zh-CN"/>
        </w:rPr>
        <w:t xml:space="preserve"> A Europe-wide survey of 93,000 LGBT persons conducted </w:t>
      </w:r>
      <w:r>
        <w:rPr>
          <w:lang w:eastAsia="zh-CN"/>
        </w:rPr>
        <w:t xml:space="preserve">in 2013 </w:t>
      </w:r>
      <w:r w:rsidRPr="00B2489C">
        <w:rPr>
          <w:lang w:eastAsia="zh-CN"/>
        </w:rPr>
        <w:t>for the European Union Agency for Fundamental Rights found that a quarter of all respondents had been attacked or threatened with violence in the previous five years.</w:t>
      </w:r>
      <w:r w:rsidRPr="0035771E">
        <w:rPr>
          <w:rFonts w:eastAsia="SimSun"/>
          <w:sz w:val="18"/>
          <w:vertAlign w:val="superscript"/>
          <w:lang w:eastAsia="zh-CN"/>
        </w:rPr>
        <w:footnoteReference w:id="51"/>
      </w:r>
      <w:r w:rsidRPr="00B2489C">
        <w:rPr>
          <w:lang w:eastAsia="zh-CN"/>
        </w:rPr>
        <w:t xml:space="preserve"> A survey </w:t>
      </w:r>
      <w:r>
        <w:rPr>
          <w:lang w:eastAsia="zh-CN"/>
        </w:rPr>
        <w:t xml:space="preserve">conducted in </w:t>
      </w:r>
      <w:r w:rsidRPr="00B2489C">
        <w:rPr>
          <w:lang w:eastAsia="zh-CN"/>
        </w:rPr>
        <w:t xml:space="preserve">2012 by the non-governmental organization Stonewall in the United Kingdom </w:t>
      </w:r>
      <w:r w:rsidR="00447343">
        <w:rPr>
          <w:rFonts w:eastAsia="SimSun"/>
          <w:lang w:eastAsia="zh-CN"/>
        </w:rPr>
        <w:t>of Great Britain and Northern Ireland</w:t>
      </w:r>
      <w:r w:rsidR="00447343" w:rsidRPr="00B2489C">
        <w:rPr>
          <w:lang w:eastAsia="zh-CN"/>
        </w:rPr>
        <w:t xml:space="preserve"> </w:t>
      </w:r>
      <w:r w:rsidRPr="00B2489C">
        <w:rPr>
          <w:lang w:eastAsia="zh-CN"/>
        </w:rPr>
        <w:t>found that one in six LGBT respondents had experienced a hate crime or incident in the previous three years; of those, 75 per</w:t>
      </w:r>
      <w:r>
        <w:rPr>
          <w:lang w:eastAsia="zh-CN"/>
        </w:rPr>
        <w:t xml:space="preserve"> </w:t>
      </w:r>
      <w:r w:rsidRPr="00B2489C">
        <w:rPr>
          <w:lang w:eastAsia="zh-CN"/>
        </w:rPr>
        <w:t xml:space="preserve">cent </w:t>
      </w:r>
      <w:r>
        <w:rPr>
          <w:lang w:eastAsia="zh-CN"/>
        </w:rPr>
        <w:t>had</w:t>
      </w:r>
      <w:r w:rsidRPr="00B2489C">
        <w:rPr>
          <w:lang w:eastAsia="zh-CN"/>
        </w:rPr>
        <w:t xml:space="preserve"> not report</w:t>
      </w:r>
      <w:r>
        <w:rPr>
          <w:lang w:eastAsia="zh-CN"/>
        </w:rPr>
        <w:t>ed</w:t>
      </w:r>
      <w:r w:rsidRPr="00B2489C">
        <w:rPr>
          <w:lang w:eastAsia="zh-CN"/>
        </w:rPr>
        <w:t xml:space="preserve"> the experience to the police.</w:t>
      </w:r>
      <w:r w:rsidRPr="00B2489C">
        <w:rPr>
          <w:rFonts w:eastAsia="SimSun"/>
          <w:vertAlign w:val="superscript"/>
          <w:lang w:eastAsia="zh-CN"/>
        </w:rPr>
        <w:footnoteReference w:id="52"/>
      </w:r>
      <w:r w:rsidRPr="00B2489C">
        <w:rPr>
          <w:lang w:eastAsia="zh-CN"/>
        </w:rPr>
        <w:t xml:space="preserve"> </w:t>
      </w:r>
    </w:p>
    <w:p w:rsidR="00E759E1" w:rsidRPr="00B2489C" w:rsidRDefault="00E759E1" w:rsidP="00023DDC">
      <w:pPr>
        <w:pStyle w:val="SingleTxtG"/>
        <w:rPr>
          <w:lang w:eastAsia="zh-CN"/>
        </w:rPr>
      </w:pPr>
      <w:r w:rsidRPr="00B2489C">
        <w:rPr>
          <w:lang w:eastAsia="zh-CN"/>
        </w:rPr>
        <w:t>3</w:t>
      </w:r>
      <w:r>
        <w:rPr>
          <w:lang w:eastAsia="zh-CN"/>
        </w:rPr>
        <w:t>3</w:t>
      </w:r>
      <w:r w:rsidRPr="00B2489C">
        <w:rPr>
          <w:lang w:eastAsia="zh-CN"/>
        </w:rPr>
        <w:t>.</w:t>
      </w:r>
      <w:r w:rsidRPr="00B2489C">
        <w:rPr>
          <w:lang w:eastAsia="zh-CN"/>
        </w:rPr>
        <w:tab/>
        <w:t xml:space="preserve">Treaty bodies and special procedures continue to express concern </w:t>
      </w:r>
      <w:r>
        <w:rPr>
          <w:lang w:eastAsia="zh-CN"/>
        </w:rPr>
        <w:t xml:space="preserve">at </w:t>
      </w:r>
      <w:r w:rsidRPr="00B2489C">
        <w:rPr>
          <w:lang w:eastAsia="zh-CN"/>
        </w:rPr>
        <w:t>rhetoric used to incite homophobic and transphobic hatred and related violence.</w:t>
      </w:r>
      <w:r w:rsidRPr="0035771E">
        <w:rPr>
          <w:sz w:val="18"/>
          <w:vertAlign w:val="superscript"/>
          <w:lang w:eastAsia="zh-CN"/>
        </w:rPr>
        <w:footnoteReference w:id="53"/>
      </w:r>
      <w:r w:rsidRPr="00B2489C">
        <w:rPr>
          <w:lang w:eastAsia="zh-CN"/>
        </w:rPr>
        <w:t xml:space="preserve"> Such language is used by some political and community leaders to promote negative stereotypes, stir up prejudice and harass particular individuals, especially during electoral periods.</w:t>
      </w:r>
      <w:r w:rsidRPr="0035771E">
        <w:rPr>
          <w:sz w:val="18"/>
          <w:vertAlign w:val="superscript"/>
          <w:lang w:eastAsia="zh-CN"/>
        </w:rPr>
        <w:t xml:space="preserve"> </w:t>
      </w:r>
      <w:r w:rsidRPr="00B2489C">
        <w:rPr>
          <w:lang w:eastAsia="zh-CN"/>
        </w:rPr>
        <w:t xml:space="preserve">The High Commissioner has expressed concern </w:t>
      </w:r>
      <w:r>
        <w:rPr>
          <w:lang w:eastAsia="zh-CN"/>
        </w:rPr>
        <w:t>at</w:t>
      </w:r>
      <w:r w:rsidRPr="00B2489C">
        <w:rPr>
          <w:lang w:eastAsia="zh-CN"/>
        </w:rPr>
        <w:t xml:space="preserve"> inflammatory rhetoric used in </w:t>
      </w:r>
      <w:r>
        <w:rPr>
          <w:lang w:eastAsia="zh-CN"/>
        </w:rPr>
        <w:t xml:space="preserve">Belarus, the </w:t>
      </w:r>
      <w:r w:rsidRPr="00B2489C">
        <w:rPr>
          <w:lang w:eastAsia="zh-CN"/>
        </w:rPr>
        <w:t>Gambia and Honduras.</w:t>
      </w:r>
      <w:r w:rsidRPr="0035771E">
        <w:rPr>
          <w:sz w:val="18"/>
          <w:vertAlign w:val="superscript"/>
          <w:lang w:eastAsia="zh-CN"/>
        </w:rPr>
        <w:footnoteReference w:id="54"/>
      </w:r>
      <w:r w:rsidRPr="00B2489C">
        <w:rPr>
          <w:lang w:eastAsia="zh-CN"/>
        </w:rPr>
        <w:t xml:space="preserve"> The Committee on the Rights of the Child has criticized statements by the Holy See as contributing to the stigmatization of, and violence against, LGBT adolescents and children raised by same-sex couples,</w:t>
      </w:r>
      <w:r w:rsidRPr="0035771E">
        <w:rPr>
          <w:sz w:val="18"/>
          <w:vertAlign w:val="superscript"/>
          <w:lang w:eastAsia="zh-CN"/>
        </w:rPr>
        <w:footnoteReference w:id="55"/>
      </w:r>
      <w:r w:rsidRPr="00B2489C">
        <w:rPr>
          <w:lang w:eastAsia="zh-CN"/>
        </w:rPr>
        <w:t xml:space="preserve"> and about the negative impact of hate speech on LGBT and intersex adults and children in Switzerland.</w:t>
      </w:r>
      <w:r w:rsidRPr="0035771E">
        <w:rPr>
          <w:sz w:val="18"/>
          <w:vertAlign w:val="superscript"/>
          <w:lang w:eastAsia="zh-CN"/>
        </w:rPr>
        <w:footnoteReference w:id="56"/>
      </w:r>
    </w:p>
    <w:p w:rsidR="00E759E1" w:rsidRPr="002B48C9" w:rsidRDefault="00E759E1" w:rsidP="00023DDC">
      <w:pPr>
        <w:pStyle w:val="H1G"/>
        <w:spacing w:line="240" w:lineRule="atLeast"/>
        <w:rPr>
          <w:lang w:eastAsia="zh-CN"/>
        </w:rPr>
      </w:pPr>
      <w:r>
        <w:rPr>
          <w:lang w:eastAsia="zh-CN"/>
        </w:rPr>
        <w:tab/>
      </w:r>
      <w:r w:rsidRPr="002B48C9">
        <w:rPr>
          <w:lang w:eastAsia="zh-CN"/>
        </w:rPr>
        <w:t>D.</w:t>
      </w:r>
      <w:r w:rsidRPr="002B48C9">
        <w:rPr>
          <w:lang w:eastAsia="zh-CN"/>
        </w:rPr>
        <w:tab/>
        <w:t>Torture and ill-treatment</w:t>
      </w:r>
    </w:p>
    <w:p w:rsidR="00E759E1" w:rsidRPr="00B2489C" w:rsidRDefault="00E759E1" w:rsidP="00023DDC">
      <w:pPr>
        <w:pStyle w:val="SingleTxtG"/>
        <w:rPr>
          <w:lang w:eastAsia="zh-CN"/>
        </w:rPr>
      </w:pPr>
      <w:r w:rsidRPr="00B2489C">
        <w:rPr>
          <w:lang w:eastAsia="zh-CN"/>
        </w:rPr>
        <w:t>3</w:t>
      </w:r>
      <w:r>
        <w:rPr>
          <w:lang w:eastAsia="zh-CN"/>
        </w:rPr>
        <w:t>4</w:t>
      </w:r>
      <w:r w:rsidRPr="00B2489C">
        <w:rPr>
          <w:lang w:eastAsia="zh-CN"/>
        </w:rPr>
        <w:t>.</w:t>
      </w:r>
      <w:r w:rsidRPr="00B2489C">
        <w:rPr>
          <w:lang w:eastAsia="zh-CN"/>
        </w:rPr>
        <w:tab/>
        <w:t>The Committee against Torture and the Special Rapporteur on torture</w:t>
      </w:r>
      <w:r>
        <w:rPr>
          <w:lang w:eastAsia="zh-CN"/>
        </w:rPr>
        <w:t xml:space="preserve"> and other cruel, inhuman or degrading treatment or punishment</w:t>
      </w:r>
      <w:r w:rsidRPr="00B2489C">
        <w:rPr>
          <w:lang w:eastAsia="zh-CN"/>
        </w:rPr>
        <w:t xml:space="preserve"> have continued to express concerns </w:t>
      </w:r>
      <w:r>
        <w:rPr>
          <w:lang w:eastAsia="zh-CN"/>
        </w:rPr>
        <w:t>at the</w:t>
      </w:r>
      <w:r w:rsidRPr="00B2489C">
        <w:rPr>
          <w:lang w:eastAsia="zh-CN"/>
        </w:rPr>
        <w:t xml:space="preserve"> torture and ill-treatment of LGBT persons in detention by or with the acquiescence of State officials.</w:t>
      </w:r>
      <w:r w:rsidRPr="0035771E">
        <w:rPr>
          <w:rFonts w:eastAsia="SimSun"/>
          <w:sz w:val="18"/>
          <w:vertAlign w:val="superscript"/>
          <w:lang w:eastAsia="zh-CN"/>
        </w:rPr>
        <w:footnoteReference w:id="57"/>
      </w:r>
    </w:p>
    <w:p w:rsidR="00E759E1" w:rsidRPr="00B2489C" w:rsidRDefault="00E759E1" w:rsidP="00023DDC">
      <w:pPr>
        <w:pStyle w:val="SingleTxtG"/>
        <w:rPr>
          <w:lang w:eastAsia="zh-CN"/>
        </w:rPr>
      </w:pPr>
      <w:r w:rsidRPr="00B2489C">
        <w:rPr>
          <w:lang w:eastAsia="zh-CN"/>
        </w:rPr>
        <w:t>3</w:t>
      </w:r>
      <w:r>
        <w:rPr>
          <w:lang w:eastAsia="zh-CN"/>
        </w:rPr>
        <w:t>5</w:t>
      </w:r>
      <w:r w:rsidRPr="00B2489C">
        <w:rPr>
          <w:lang w:eastAsia="zh-CN"/>
        </w:rPr>
        <w:t>.</w:t>
      </w:r>
      <w:r w:rsidRPr="00B2489C">
        <w:rPr>
          <w:lang w:eastAsia="zh-CN"/>
        </w:rPr>
        <w:tab/>
        <w:t>Reported cases include the arrest, beating and ill-treatment by police in Zimbabwe of 44 members of an LGBT organization.</w:t>
      </w:r>
      <w:r w:rsidRPr="0035771E">
        <w:rPr>
          <w:rFonts w:eastAsia="SimSun"/>
          <w:sz w:val="18"/>
          <w:vertAlign w:val="superscript"/>
          <w:lang w:eastAsia="zh-CN"/>
        </w:rPr>
        <w:footnoteReference w:id="58"/>
      </w:r>
      <w:r w:rsidRPr="00B2489C">
        <w:rPr>
          <w:lang w:eastAsia="zh-CN"/>
        </w:rPr>
        <w:t xml:space="preserve"> Sixteen gay and transgender individuals in the United States were allegedly subjected to solitary confinement, torture and ill-treatment, including sexual assault, while in detention in immigration facilities.</w:t>
      </w:r>
      <w:r w:rsidRPr="0035771E">
        <w:rPr>
          <w:rFonts w:eastAsia="SimSun"/>
          <w:sz w:val="18"/>
          <w:vertAlign w:val="superscript"/>
          <w:lang w:eastAsia="zh-CN"/>
        </w:rPr>
        <w:footnoteReference w:id="59"/>
      </w:r>
      <w:r>
        <w:rPr>
          <w:lang w:eastAsia="zh-CN"/>
        </w:rPr>
        <w:t xml:space="preserve"> </w:t>
      </w:r>
      <w:r w:rsidRPr="00B2489C">
        <w:rPr>
          <w:lang w:eastAsia="zh-CN"/>
        </w:rPr>
        <w:t>A woman was reportedly arrested in Bangladesh for being a lesbian</w:t>
      </w:r>
      <w:r>
        <w:rPr>
          <w:lang w:eastAsia="zh-CN"/>
        </w:rPr>
        <w:t>,</w:t>
      </w:r>
      <w:r w:rsidRPr="00B2489C">
        <w:rPr>
          <w:lang w:eastAsia="zh-CN"/>
        </w:rPr>
        <w:t xml:space="preserve"> and subsequently beaten and raped by police while in custody.</w:t>
      </w:r>
      <w:r w:rsidRPr="0035771E">
        <w:rPr>
          <w:rFonts w:eastAsia="SimSun"/>
          <w:sz w:val="18"/>
          <w:vertAlign w:val="superscript"/>
          <w:lang w:eastAsia="zh-CN"/>
        </w:rPr>
        <w:footnoteReference w:id="60"/>
      </w:r>
      <w:r>
        <w:rPr>
          <w:lang w:eastAsia="zh-CN"/>
        </w:rPr>
        <w:t xml:space="preserve"> </w:t>
      </w:r>
      <w:r w:rsidRPr="00B2489C">
        <w:rPr>
          <w:lang w:eastAsia="zh-CN"/>
        </w:rPr>
        <w:t xml:space="preserve">In Egypt, four people arrested on the basis of their alleged sexual </w:t>
      </w:r>
      <w:r w:rsidRPr="00B2489C">
        <w:rPr>
          <w:lang w:eastAsia="zh-CN"/>
        </w:rPr>
        <w:lastRenderedPageBreak/>
        <w:t xml:space="preserve">orientation </w:t>
      </w:r>
      <w:r w:rsidR="000E4BFD">
        <w:rPr>
          <w:lang w:eastAsia="zh-CN"/>
        </w:rPr>
        <w:t xml:space="preserve">and/or gender identity </w:t>
      </w:r>
      <w:r w:rsidRPr="00B2489C">
        <w:rPr>
          <w:lang w:eastAsia="zh-CN"/>
        </w:rPr>
        <w:t>reportedly faced sexual assault by other inmates while in detention.</w:t>
      </w:r>
      <w:r w:rsidRPr="0035771E">
        <w:rPr>
          <w:rFonts w:eastAsia="SimSun"/>
          <w:sz w:val="18"/>
          <w:vertAlign w:val="superscript"/>
          <w:lang w:eastAsia="zh-CN"/>
        </w:rPr>
        <w:footnoteReference w:id="61"/>
      </w:r>
    </w:p>
    <w:p w:rsidR="00E759E1" w:rsidRPr="00B2489C" w:rsidRDefault="00E759E1" w:rsidP="00023DDC">
      <w:pPr>
        <w:pStyle w:val="SingleTxtG"/>
        <w:rPr>
          <w:lang w:eastAsia="zh-CN"/>
        </w:rPr>
      </w:pPr>
      <w:r w:rsidRPr="00B2489C">
        <w:rPr>
          <w:lang w:eastAsia="zh-CN"/>
        </w:rPr>
        <w:t>3</w:t>
      </w:r>
      <w:r>
        <w:rPr>
          <w:lang w:eastAsia="zh-CN"/>
        </w:rPr>
        <w:t>6</w:t>
      </w:r>
      <w:r w:rsidRPr="00B2489C">
        <w:rPr>
          <w:lang w:eastAsia="zh-CN"/>
        </w:rPr>
        <w:t>.</w:t>
      </w:r>
      <w:r w:rsidRPr="00B2489C">
        <w:rPr>
          <w:lang w:eastAsia="zh-CN"/>
        </w:rPr>
        <w:tab/>
        <w:t>The Special Rapporteur on violence against women</w:t>
      </w:r>
      <w:r>
        <w:rPr>
          <w:lang w:eastAsia="zh-CN"/>
        </w:rPr>
        <w:t>, its causes and consequences</w:t>
      </w:r>
      <w:r w:rsidRPr="00B2489C">
        <w:rPr>
          <w:lang w:eastAsia="zh-CN"/>
        </w:rPr>
        <w:t xml:space="preserve"> has highlighted similar cases, noting that </w:t>
      </w:r>
      <w:r w:rsidRPr="00B2489C">
        <w:rPr>
          <w:color w:val="000000"/>
          <w:lang w:eastAsia="zh-CN"/>
        </w:rPr>
        <w:t xml:space="preserve">those with a non-heterosexual orientation, or whose gender expression </w:t>
      </w:r>
      <w:r w:rsidR="00AA2FA2">
        <w:rPr>
          <w:color w:val="000000"/>
          <w:lang w:eastAsia="zh-CN"/>
        </w:rPr>
        <w:t>did</w:t>
      </w:r>
      <w:r w:rsidR="00AA2FA2" w:rsidRPr="00B2489C">
        <w:rPr>
          <w:color w:val="000000"/>
          <w:lang w:eastAsia="zh-CN"/>
        </w:rPr>
        <w:t xml:space="preserve"> </w:t>
      </w:r>
      <w:r w:rsidRPr="00B2489C">
        <w:rPr>
          <w:color w:val="000000"/>
          <w:lang w:eastAsia="zh-CN"/>
        </w:rPr>
        <w:t xml:space="preserve">not fall into exact categories of female and male, </w:t>
      </w:r>
      <w:r w:rsidR="00AA2FA2">
        <w:rPr>
          <w:color w:val="000000"/>
          <w:lang w:eastAsia="zh-CN"/>
        </w:rPr>
        <w:t>were</w:t>
      </w:r>
      <w:r w:rsidR="00AA2FA2" w:rsidRPr="00B2489C">
        <w:rPr>
          <w:color w:val="000000"/>
          <w:lang w:eastAsia="zh-CN"/>
        </w:rPr>
        <w:t xml:space="preserve"> </w:t>
      </w:r>
      <w:r w:rsidRPr="00B2489C">
        <w:rPr>
          <w:color w:val="000000"/>
          <w:lang w:eastAsia="zh-CN"/>
        </w:rPr>
        <w:t>vulnerable to targeted abuse both by staff and by other prisoners.</w:t>
      </w:r>
      <w:r w:rsidRPr="0035771E">
        <w:rPr>
          <w:color w:val="000000"/>
          <w:sz w:val="18"/>
          <w:lang w:eastAsia="zh-CN"/>
        </w:rPr>
        <w:t xml:space="preserve"> </w:t>
      </w:r>
      <w:r w:rsidRPr="00B2489C">
        <w:rPr>
          <w:lang w:eastAsia="zh-CN"/>
        </w:rPr>
        <w:t xml:space="preserve">She expressed concern about </w:t>
      </w:r>
      <w:r w:rsidRPr="00B2489C">
        <w:rPr>
          <w:color w:val="000000"/>
          <w:lang w:eastAsia="zh-CN"/>
        </w:rPr>
        <w:t>lesbian women being placed in cells with men if they refuse</w:t>
      </w:r>
      <w:r>
        <w:rPr>
          <w:color w:val="000000"/>
          <w:lang w:eastAsia="zh-CN"/>
        </w:rPr>
        <w:t>d</w:t>
      </w:r>
      <w:r w:rsidRPr="00B2489C">
        <w:rPr>
          <w:color w:val="000000"/>
          <w:lang w:eastAsia="zh-CN"/>
        </w:rPr>
        <w:t xml:space="preserve"> </w:t>
      </w:r>
      <w:r>
        <w:rPr>
          <w:color w:val="000000"/>
          <w:lang w:eastAsia="zh-CN"/>
        </w:rPr>
        <w:t xml:space="preserve">the </w:t>
      </w:r>
      <w:r w:rsidRPr="00B2489C">
        <w:rPr>
          <w:color w:val="000000"/>
          <w:lang w:eastAsia="zh-CN"/>
        </w:rPr>
        <w:t>sexual advances of prison staff. Female prisoners whom guards view</w:t>
      </w:r>
      <w:r>
        <w:rPr>
          <w:color w:val="000000"/>
          <w:lang w:eastAsia="zh-CN"/>
        </w:rPr>
        <w:t>ed</w:t>
      </w:r>
      <w:r w:rsidRPr="00B2489C">
        <w:rPr>
          <w:color w:val="000000"/>
          <w:lang w:eastAsia="zh-CN"/>
        </w:rPr>
        <w:t xml:space="preserve"> as “masculine” in appearance </w:t>
      </w:r>
      <w:r>
        <w:rPr>
          <w:color w:val="000000"/>
          <w:lang w:eastAsia="zh-CN"/>
        </w:rPr>
        <w:t>were</w:t>
      </w:r>
      <w:r w:rsidRPr="00B2489C">
        <w:rPr>
          <w:color w:val="000000"/>
          <w:lang w:eastAsia="zh-CN"/>
        </w:rPr>
        <w:t xml:space="preserve"> subjected to harassment</w:t>
      </w:r>
      <w:r>
        <w:rPr>
          <w:color w:val="000000"/>
          <w:lang w:eastAsia="zh-CN"/>
        </w:rPr>
        <w:t>,</w:t>
      </w:r>
      <w:r w:rsidRPr="00B2489C">
        <w:rPr>
          <w:color w:val="000000"/>
          <w:lang w:eastAsia="zh-CN"/>
        </w:rPr>
        <w:t xml:space="preserve"> physical abuse and “forced feminization”. </w:t>
      </w:r>
      <w:r w:rsidRPr="00B2489C">
        <w:rPr>
          <w:lang w:eastAsia="zh-CN"/>
        </w:rPr>
        <w:t xml:space="preserve">Transgender prisoners face particularly harsh circumstances. </w:t>
      </w:r>
      <w:r>
        <w:rPr>
          <w:lang w:eastAsia="zh-CN"/>
        </w:rPr>
        <w:t>In one</w:t>
      </w:r>
      <w:r w:rsidRPr="00B2489C">
        <w:rPr>
          <w:lang w:eastAsia="zh-CN"/>
        </w:rPr>
        <w:t xml:space="preserve"> case</w:t>
      </w:r>
      <w:r>
        <w:rPr>
          <w:lang w:eastAsia="zh-CN"/>
        </w:rPr>
        <w:t>,</w:t>
      </w:r>
      <w:r w:rsidRPr="00B2489C">
        <w:rPr>
          <w:lang w:eastAsia="zh-CN"/>
        </w:rPr>
        <w:t xml:space="preserve"> in Guatemala</w:t>
      </w:r>
      <w:r>
        <w:rPr>
          <w:lang w:eastAsia="zh-CN"/>
        </w:rPr>
        <w:t>,</w:t>
      </w:r>
      <w:r w:rsidRPr="00B2489C">
        <w:rPr>
          <w:lang w:eastAsia="zh-CN"/>
        </w:rPr>
        <w:t xml:space="preserve"> a transgender woman was allegedly raped more than 80 times while in detention.</w:t>
      </w:r>
      <w:r w:rsidRPr="0035771E">
        <w:rPr>
          <w:rFonts w:eastAsia="SimSun"/>
          <w:sz w:val="18"/>
          <w:vertAlign w:val="superscript"/>
          <w:lang w:eastAsia="zh-CN"/>
        </w:rPr>
        <w:footnoteReference w:id="62"/>
      </w:r>
    </w:p>
    <w:p w:rsidR="00E759E1" w:rsidRPr="00B2489C" w:rsidRDefault="00E759E1" w:rsidP="00023DDC">
      <w:pPr>
        <w:pStyle w:val="SingleTxtG"/>
        <w:rPr>
          <w:lang w:eastAsia="zh-CN"/>
        </w:rPr>
      </w:pPr>
      <w:r w:rsidRPr="00B2489C">
        <w:rPr>
          <w:lang w:eastAsia="zh-CN"/>
        </w:rPr>
        <w:t>3</w:t>
      </w:r>
      <w:r>
        <w:rPr>
          <w:lang w:eastAsia="zh-CN"/>
        </w:rPr>
        <w:t>7</w:t>
      </w:r>
      <w:r w:rsidRPr="00B2489C">
        <w:rPr>
          <w:lang w:eastAsia="zh-CN"/>
        </w:rPr>
        <w:t>.</w:t>
      </w:r>
      <w:r w:rsidRPr="00B2489C">
        <w:rPr>
          <w:lang w:eastAsia="zh-CN"/>
        </w:rPr>
        <w:tab/>
        <w:t>Some States continue to subject men suspected of homosexual conduct to anal examinations in order to “prove” their homosexuality.</w:t>
      </w:r>
      <w:r w:rsidRPr="00B2489C" w:rsidDel="002B75C4">
        <w:rPr>
          <w:rFonts w:eastAsia="SimSun"/>
          <w:vertAlign w:val="superscript"/>
          <w:lang w:eastAsia="zh-CN"/>
        </w:rPr>
        <w:t xml:space="preserve"> </w:t>
      </w:r>
      <w:r w:rsidRPr="00B2489C">
        <w:rPr>
          <w:lang w:eastAsia="zh-CN"/>
        </w:rPr>
        <w:t>Such examinations have been described as “medically worthless” and condemned by the Committee against Torture, the Special Rapporteur on torture and the Working Group on Arbitrary Detention; all have held that the practice contravenes the prohibition on torture and ill-treatment.</w:t>
      </w:r>
      <w:r w:rsidRPr="0035771E">
        <w:rPr>
          <w:rFonts w:eastAsia="SimSun"/>
          <w:sz w:val="18"/>
          <w:vertAlign w:val="superscript"/>
          <w:lang w:eastAsia="zh-CN"/>
        </w:rPr>
        <w:footnoteReference w:id="63"/>
      </w:r>
    </w:p>
    <w:p w:rsidR="00E759E1" w:rsidRPr="00B2489C" w:rsidRDefault="00E759E1" w:rsidP="00023DDC">
      <w:pPr>
        <w:pStyle w:val="SingleTxtG"/>
        <w:rPr>
          <w:lang w:eastAsia="zh-CN"/>
        </w:rPr>
      </w:pPr>
      <w:r w:rsidRPr="00B2489C">
        <w:rPr>
          <w:lang w:eastAsia="zh-CN"/>
        </w:rPr>
        <w:t>3</w:t>
      </w:r>
      <w:r>
        <w:rPr>
          <w:lang w:eastAsia="zh-CN"/>
        </w:rPr>
        <w:t>8</w:t>
      </w:r>
      <w:r w:rsidRPr="00B2489C">
        <w:rPr>
          <w:lang w:eastAsia="zh-CN"/>
        </w:rPr>
        <w:t>.</w:t>
      </w:r>
      <w:r w:rsidRPr="00B2489C">
        <w:rPr>
          <w:lang w:eastAsia="zh-CN"/>
        </w:rPr>
        <w:tab/>
        <w:t xml:space="preserve">Other medical procedures that can, when forced or otherwise involuntary, breach the prohibition on torture and ill-treatment include </w:t>
      </w:r>
      <w:r>
        <w:rPr>
          <w:lang w:eastAsia="zh-CN"/>
        </w:rPr>
        <w:t xml:space="preserve">“conversion” therapy, </w:t>
      </w:r>
      <w:r w:rsidRPr="00B2489C">
        <w:rPr>
          <w:lang w:eastAsia="zh-CN"/>
        </w:rPr>
        <w:t xml:space="preserve">sterilization, gender reassignment, </w:t>
      </w:r>
      <w:r>
        <w:rPr>
          <w:lang w:eastAsia="zh-CN"/>
        </w:rPr>
        <w:t xml:space="preserve">and </w:t>
      </w:r>
      <w:r w:rsidRPr="00B2489C">
        <w:rPr>
          <w:lang w:eastAsia="zh-CN"/>
        </w:rPr>
        <w:t xml:space="preserve">unnecessary </w:t>
      </w:r>
      <w:r>
        <w:rPr>
          <w:lang w:eastAsia="zh-CN"/>
        </w:rPr>
        <w:t>medical</w:t>
      </w:r>
      <w:r w:rsidRPr="00B2489C">
        <w:rPr>
          <w:lang w:eastAsia="zh-CN"/>
        </w:rPr>
        <w:t xml:space="preserve"> interventions involving intersex children</w:t>
      </w:r>
      <w:r w:rsidR="00111BC3">
        <w:rPr>
          <w:lang w:eastAsia="zh-CN"/>
        </w:rPr>
        <w:t xml:space="preserve"> (</w:t>
      </w:r>
      <w:r w:rsidR="00111BC3">
        <w:t>s</w:t>
      </w:r>
      <w:r w:rsidR="00111BC3" w:rsidRPr="008F4F69">
        <w:t>ee para</w:t>
      </w:r>
      <w:r w:rsidR="00CE0FC0">
        <w:t>s</w:t>
      </w:r>
      <w:r w:rsidR="00111BC3" w:rsidRPr="008F4F69">
        <w:t xml:space="preserve">. </w:t>
      </w:r>
      <w:r w:rsidR="00111BC3" w:rsidRPr="00DD068F">
        <w:t>14</w:t>
      </w:r>
      <w:r w:rsidR="00CE0FC0">
        <w:t xml:space="preserve"> above and</w:t>
      </w:r>
      <w:r w:rsidR="00111BC3" w:rsidRPr="00DD068F">
        <w:t xml:space="preserve"> 52, 53 and 70</w:t>
      </w:r>
      <w:r w:rsidR="00CE0FC0">
        <w:t xml:space="preserve"> below</w:t>
      </w:r>
      <w:r w:rsidR="00111BC3">
        <w:t>)</w:t>
      </w:r>
      <w:r w:rsidRPr="00B2489C">
        <w:rPr>
          <w:lang w:eastAsia="zh-CN"/>
        </w:rPr>
        <w:t>.</w:t>
      </w:r>
    </w:p>
    <w:p w:rsidR="00E759E1" w:rsidRPr="002B48C9" w:rsidRDefault="00E759E1" w:rsidP="00023DDC">
      <w:pPr>
        <w:pStyle w:val="H1G"/>
        <w:spacing w:line="240" w:lineRule="atLeast"/>
        <w:rPr>
          <w:rFonts w:eastAsia="SimSun"/>
          <w:lang w:eastAsia="zh-CN"/>
        </w:rPr>
      </w:pPr>
      <w:r>
        <w:rPr>
          <w:rFonts w:eastAsia="SimSun"/>
          <w:lang w:eastAsia="zh-CN"/>
        </w:rPr>
        <w:tab/>
      </w:r>
      <w:r w:rsidRPr="002B48C9">
        <w:rPr>
          <w:rFonts w:eastAsia="SimSun"/>
          <w:lang w:eastAsia="zh-CN"/>
        </w:rPr>
        <w:t>E.</w:t>
      </w:r>
      <w:r w:rsidRPr="002B48C9">
        <w:rPr>
          <w:rFonts w:eastAsia="SimSun"/>
          <w:lang w:eastAsia="zh-CN"/>
        </w:rPr>
        <w:tab/>
        <w:t>Positive developments since 2011</w:t>
      </w:r>
    </w:p>
    <w:p w:rsidR="00E759E1" w:rsidRPr="00B2489C" w:rsidRDefault="00E759E1" w:rsidP="00023DDC">
      <w:pPr>
        <w:pStyle w:val="SingleTxtG"/>
        <w:rPr>
          <w:rFonts w:eastAsia="SimSun"/>
          <w:lang w:eastAsia="zh-CN"/>
        </w:rPr>
      </w:pPr>
      <w:r w:rsidRPr="00B2489C">
        <w:rPr>
          <w:rFonts w:eastAsia="SimSun"/>
          <w:szCs w:val="22"/>
          <w:lang w:eastAsia="zh-CN"/>
        </w:rPr>
        <w:t>3</w:t>
      </w:r>
      <w:r>
        <w:rPr>
          <w:rFonts w:eastAsia="SimSun"/>
          <w:szCs w:val="22"/>
          <w:lang w:eastAsia="zh-CN"/>
        </w:rPr>
        <w:t>9</w:t>
      </w:r>
      <w:r w:rsidRPr="00B2489C">
        <w:rPr>
          <w:rFonts w:eastAsia="SimSun"/>
          <w:szCs w:val="22"/>
          <w:lang w:eastAsia="zh-CN"/>
        </w:rPr>
        <w:t>.</w:t>
      </w:r>
      <w:r w:rsidRPr="00B2489C">
        <w:rPr>
          <w:rFonts w:eastAsia="SimSun"/>
          <w:szCs w:val="22"/>
          <w:lang w:eastAsia="zh-CN"/>
        </w:rPr>
        <w:tab/>
      </w:r>
      <w:r>
        <w:rPr>
          <w:rFonts w:eastAsia="SimSun"/>
          <w:szCs w:val="22"/>
          <w:lang w:eastAsia="zh-CN"/>
        </w:rPr>
        <w:t xml:space="preserve">States have adopted a range of measures with a view to addressing homophobic and transphobic violence, including some highlighted in responses to the </w:t>
      </w:r>
      <w:r w:rsidRPr="0035771E">
        <w:rPr>
          <w:rFonts w:eastAsia="SimSun"/>
          <w:szCs w:val="22"/>
          <w:lang w:eastAsia="zh-CN"/>
        </w:rPr>
        <w:t>note verbale</w:t>
      </w:r>
      <w:r>
        <w:rPr>
          <w:rFonts w:eastAsia="SimSun"/>
          <w:szCs w:val="22"/>
          <w:lang w:eastAsia="zh-CN"/>
        </w:rPr>
        <w:t xml:space="preserve"> soliciting inputs for the present report</w:t>
      </w:r>
      <w:r w:rsidRPr="00B2489C">
        <w:rPr>
          <w:rFonts w:eastAsia="SimSun"/>
          <w:szCs w:val="22"/>
          <w:lang w:eastAsia="zh-CN"/>
        </w:rPr>
        <w:t xml:space="preserve">. </w:t>
      </w:r>
      <w:r w:rsidRPr="00B2489C">
        <w:rPr>
          <w:rFonts w:eastAsia="SimSun"/>
          <w:lang w:eastAsia="zh-CN"/>
        </w:rPr>
        <w:t xml:space="preserve">New or strengthened anti-hate crime laws have been enacted in several </w:t>
      </w:r>
      <w:r>
        <w:rPr>
          <w:rFonts w:eastAsia="SimSun"/>
          <w:lang w:eastAsia="zh-CN"/>
        </w:rPr>
        <w:t>States</w:t>
      </w:r>
      <w:r w:rsidRPr="00B2489C">
        <w:rPr>
          <w:rFonts w:eastAsia="SimSun"/>
          <w:lang w:eastAsia="zh-CN"/>
        </w:rPr>
        <w:t xml:space="preserve">, including Albania, Chile, Finland, Georgia, Greece, Honduras, Malta, Montenegro, Portugal and Serbia. Such laws can play an important role in facilitating </w:t>
      </w:r>
      <w:r>
        <w:rPr>
          <w:rFonts w:eastAsia="SimSun"/>
          <w:lang w:eastAsia="zh-CN"/>
        </w:rPr>
        <w:t xml:space="preserve">the </w:t>
      </w:r>
      <w:r w:rsidRPr="00B2489C">
        <w:rPr>
          <w:rFonts w:eastAsia="SimSun"/>
          <w:lang w:eastAsia="zh-CN"/>
        </w:rPr>
        <w:t>prosecution and punishment of perpetrators of hate</w:t>
      </w:r>
      <w:r>
        <w:rPr>
          <w:rFonts w:eastAsia="SimSun"/>
          <w:lang w:eastAsia="zh-CN"/>
        </w:rPr>
        <w:t>-</w:t>
      </w:r>
      <w:r w:rsidRPr="00B2489C">
        <w:rPr>
          <w:rFonts w:eastAsia="SimSun"/>
          <w:lang w:eastAsia="zh-CN"/>
        </w:rPr>
        <w:t xml:space="preserve">motivated violence </w:t>
      </w:r>
      <w:r>
        <w:rPr>
          <w:rFonts w:eastAsia="SimSun"/>
          <w:lang w:eastAsia="zh-CN"/>
        </w:rPr>
        <w:t xml:space="preserve">and in </w:t>
      </w:r>
      <w:r w:rsidRPr="00B2489C">
        <w:rPr>
          <w:rFonts w:eastAsia="SimSun"/>
          <w:lang w:eastAsia="zh-CN"/>
        </w:rPr>
        <w:t>establishing homophobia and transphobia as aggravating factors for the purposes of sentencing.</w:t>
      </w:r>
    </w:p>
    <w:p w:rsidR="00E759E1" w:rsidRPr="00B2489C" w:rsidRDefault="00E759E1" w:rsidP="00023DDC">
      <w:pPr>
        <w:pStyle w:val="SingleTxtG"/>
        <w:rPr>
          <w:rFonts w:eastAsia="SimSun"/>
          <w:szCs w:val="22"/>
          <w:lang w:eastAsia="zh-CN"/>
        </w:rPr>
      </w:pPr>
      <w:r>
        <w:rPr>
          <w:rFonts w:eastAsia="SimSun"/>
          <w:lang w:eastAsia="zh-CN"/>
        </w:rPr>
        <w:t>40</w:t>
      </w:r>
      <w:r w:rsidRPr="00B2489C">
        <w:rPr>
          <w:rFonts w:eastAsia="SimSun"/>
          <w:lang w:eastAsia="zh-CN"/>
        </w:rPr>
        <w:t>.</w:t>
      </w:r>
      <w:r w:rsidRPr="00B2489C">
        <w:rPr>
          <w:rFonts w:eastAsia="SimSun"/>
          <w:lang w:eastAsia="zh-CN"/>
        </w:rPr>
        <w:tab/>
        <w:t>Other notable initiatives include the establishment of specialized hate crime prosecution units (Brazil, Honduras, Mexico, Spain), and a</w:t>
      </w:r>
      <w:r>
        <w:rPr>
          <w:rFonts w:eastAsia="SimSun"/>
          <w:lang w:eastAsia="zh-CN"/>
        </w:rPr>
        <w:t>n interagency</w:t>
      </w:r>
      <w:r w:rsidRPr="00B2489C">
        <w:rPr>
          <w:rFonts w:eastAsia="SimSun"/>
          <w:lang w:eastAsia="zh-CN"/>
        </w:rPr>
        <w:t xml:space="preserve"> working group on urgent cases (Colombia); improved police training and sensitization (Canada, Denmark, France, Montenegro, Philippines) and new policing guidelines (Spain, United Kingdom); national hotlines to report homophobic incidents (Brazil, Netherlands) and surveys to improve hate</w:t>
      </w:r>
      <w:r>
        <w:rPr>
          <w:rFonts w:eastAsia="SimSun"/>
          <w:lang w:eastAsia="zh-CN"/>
        </w:rPr>
        <w:t>-</w:t>
      </w:r>
      <w:r w:rsidRPr="00B2489C">
        <w:rPr>
          <w:rFonts w:eastAsia="SimSun"/>
          <w:lang w:eastAsia="zh-CN"/>
        </w:rPr>
        <w:t>crime data collection (Belgium (Flanders), Canada); a national task</w:t>
      </w:r>
      <w:r>
        <w:rPr>
          <w:rFonts w:eastAsia="SimSun"/>
          <w:lang w:eastAsia="zh-CN"/>
        </w:rPr>
        <w:t xml:space="preserve"> </w:t>
      </w:r>
      <w:r w:rsidRPr="00B2489C">
        <w:rPr>
          <w:rFonts w:eastAsia="SimSun"/>
          <w:lang w:eastAsia="zh-CN"/>
        </w:rPr>
        <w:t>force on gender</w:t>
      </w:r>
      <w:r>
        <w:rPr>
          <w:rFonts w:eastAsia="SimSun"/>
          <w:lang w:eastAsia="zh-CN"/>
        </w:rPr>
        <w:t>-</w:t>
      </w:r>
      <w:r w:rsidRPr="00B2489C">
        <w:rPr>
          <w:rFonts w:eastAsia="SimSun"/>
          <w:lang w:eastAsia="zh-CN"/>
        </w:rPr>
        <w:t xml:space="preserve"> and sexual orientation-based violence (South Africa); policies and protocols for ensuring the dignity and safety of transgender prisoners (Brazil, Canada); training materials on </w:t>
      </w:r>
      <w:r>
        <w:rPr>
          <w:rFonts w:eastAsia="SimSun"/>
          <w:lang w:eastAsia="zh-CN"/>
        </w:rPr>
        <w:t xml:space="preserve">the </w:t>
      </w:r>
      <w:r w:rsidRPr="00B2489C">
        <w:rPr>
          <w:rFonts w:eastAsia="SimSun"/>
          <w:lang w:eastAsia="zh-CN"/>
        </w:rPr>
        <w:t>rights of LGBT prisoners (Ecuador); and investigations by the human rights commission of allegations of torture and ill-treatment of LGBT and intersex detainees (Nepal).</w:t>
      </w:r>
    </w:p>
    <w:p w:rsidR="00E759E1" w:rsidRDefault="00E759E1" w:rsidP="00023DDC">
      <w:pPr>
        <w:pStyle w:val="HChG"/>
        <w:spacing w:line="240" w:lineRule="atLeast"/>
        <w:rPr>
          <w:sz w:val="24"/>
          <w:szCs w:val="24"/>
          <w:lang w:eastAsia="zh-CN"/>
        </w:rPr>
      </w:pPr>
      <w:r>
        <w:rPr>
          <w:lang w:eastAsia="zh-CN"/>
        </w:rPr>
        <w:lastRenderedPageBreak/>
        <w:tab/>
      </w:r>
      <w:r w:rsidRPr="00FB0EE9">
        <w:rPr>
          <w:szCs w:val="28"/>
          <w:lang w:eastAsia="zh-CN"/>
        </w:rPr>
        <w:t>V.</w:t>
      </w:r>
      <w:r w:rsidRPr="00FB0EE9">
        <w:rPr>
          <w:szCs w:val="28"/>
          <w:lang w:eastAsia="zh-CN"/>
        </w:rPr>
        <w:tab/>
        <w:t>Discriminat</w:t>
      </w:r>
      <w:r w:rsidRPr="00E90A18">
        <w:rPr>
          <w:szCs w:val="28"/>
          <w:lang w:eastAsia="zh-CN"/>
        </w:rPr>
        <w:t>ion</w:t>
      </w:r>
      <w:r w:rsidRPr="0035771E">
        <w:rPr>
          <w:rStyle w:val="FootnoteReference"/>
          <w:rFonts w:eastAsia="SimSun"/>
          <w:b w:val="0"/>
        </w:rPr>
        <w:footnoteReference w:id="64"/>
      </w:r>
    </w:p>
    <w:p w:rsidR="00E759E1" w:rsidRPr="00E90A18" w:rsidRDefault="00E759E1" w:rsidP="00023DDC">
      <w:pPr>
        <w:spacing w:after="120"/>
        <w:ind w:left="1134" w:right="1134"/>
        <w:jc w:val="both"/>
        <w:rPr>
          <w:rFonts w:eastAsia="SimSun"/>
          <w:lang w:eastAsia="zh-CN"/>
        </w:rPr>
      </w:pPr>
      <w:r>
        <w:rPr>
          <w:rFonts w:eastAsia="SimSun"/>
          <w:lang w:eastAsia="zh-CN"/>
        </w:rPr>
        <w:t>41.</w:t>
      </w:r>
      <w:r>
        <w:rPr>
          <w:rFonts w:eastAsia="SimSun"/>
          <w:lang w:eastAsia="zh-CN"/>
        </w:rPr>
        <w:tab/>
      </w:r>
      <w:r w:rsidRPr="00E86DBA">
        <w:rPr>
          <w:rFonts w:eastAsia="SimSun"/>
          <w:lang w:eastAsia="zh-CN"/>
        </w:rPr>
        <w:t>The Human Rights Committee and the Committee on Economic, Social and Cultural Rights have repeatedly urged States to tackle both direct and indirect discrimination against</w:t>
      </w:r>
      <w:r>
        <w:rPr>
          <w:rFonts w:eastAsia="SimSun"/>
          <w:lang w:eastAsia="zh-CN"/>
        </w:rPr>
        <w:t xml:space="preserve"> all persons, including</w:t>
      </w:r>
      <w:r w:rsidRPr="00E86DBA">
        <w:rPr>
          <w:rFonts w:eastAsia="SimSun"/>
          <w:lang w:eastAsia="zh-CN"/>
        </w:rPr>
        <w:t xml:space="preserve"> LGBT and intersex persons.</w:t>
      </w:r>
      <w:r w:rsidRPr="0035771E">
        <w:rPr>
          <w:rFonts w:eastAsia="SimSun"/>
          <w:sz w:val="18"/>
          <w:vertAlign w:val="superscript"/>
          <w:lang w:eastAsia="zh-CN"/>
        </w:rPr>
        <w:footnoteReference w:id="65"/>
      </w:r>
      <w:r w:rsidRPr="00E86DBA">
        <w:rPr>
          <w:rFonts w:eastAsia="SimSun"/>
          <w:lang w:eastAsia="zh-CN"/>
        </w:rPr>
        <w:t xml:space="preserve"> </w:t>
      </w:r>
      <w:r>
        <w:rPr>
          <w:rFonts w:eastAsia="SimSun"/>
          <w:lang w:eastAsia="zh-CN"/>
        </w:rPr>
        <w:t xml:space="preserve">States have an obligation </w:t>
      </w:r>
      <w:r>
        <w:rPr>
          <w:lang w:eastAsia="zh-CN"/>
        </w:rPr>
        <w:t xml:space="preserve">to ensure that laws, policies and programmes executed by State authorities do not discriminate against individuals. They also have an obligation to address discriminatory practices, including by private actors, and to take action to </w:t>
      </w:r>
      <w:r w:rsidRPr="00FB0EE9">
        <w:rPr>
          <w:lang w:eastAsia="zh-CN"/>
        </w:rPr>
        <w:t xml:space="preserve">prevent, diminish and eliminate the conditions and attitudes </w:t>
      </w:r>
      <w:r>
        <w:rPr>
          <w:lang w:eastAsia="zh-CN"/>
        </w:rPr>
        <w:t xml:space="preserve">that contribute to </w:t>
      </w:r>
      <w:r w:rsidRPr="00FB0EE9">
        <w:rPr>
          <w:lang w:eastAsia="zh-CN"/>
        </w:rPr>
        <w:t xml:space="preserve">substantive or </w:t>
      </w:r>
      <w:r w:rsidRPr="0035771E">
        <w:rPr>
          <w:lang w:eastAsia="zh-CN"/>
        </w:rPr>
        <w:t>de facto</w:t>
      </w:r>
      <w:r w:rsidRPr="00FB0EE9">
        <w:rPr>
          <w:lang w:eastAsia="zh-CN"/>
        </w:rPr>
        <w:t xml:space="preserve"> discrimination</w:t>
      </w:r>
      <w:r w:rsidRPr="002B48C9">
        <w:rPr>
          <w:lang w:eastAsia="zh-CN"/>
        </w:rPr>
        <w:t>.</w:t>
      </w:r>
    </w:p>
    <w:p w:rsidR="00E759E1" w:rsidRDefault="00E759E1" w:rsidP="00023DDC">
      <w:pPr>
        <w:spacing w:after="120"/>
        <w:ind w:left="1134" w:right="1134"/>
        <w:jc w:val="both"/>
        <w:rPr>
          <w:lang w:eastAsia="zh-CN"/>
        </w:rPr>
      </w:pPr>
      <w:r>
        <w:rPr>
          <w:lang w:eastAsia="zh-CN"/>
        </w:rPr>
        <w:t>42.</w:t>
      </w:r>
      <w:r>
        <w:rPr>
          <w:lang w:eastAsia="zh-CN"/>
        </w:rPr>
        <w:tab/>
      </w:r>
      <w:r w:rsidRPr="00E86DBA">
        <w:rPr>
          <w:lang w:eastAsia="zh-CN"/>
        </w:rPr>
        <w:t>Discrimination against LGBT individuals is often exacerbated by other identity factors, such as sex, ethnicity, age and religion, and socioeconomic factors</w:t>
      </w:r>
      <w:r>
        <w:rPr>
          <w:lang w:eastAsia="zh-CN"/>
        </w:rPr>
        <w:t>,</w:t>
      </w:r>
      <w:r w:rsidRPr="00E86DBA">
        <w:rPr>
          <w:lang w:eastAsia="zh-CN"/>
        </w:rPr>
        <w:t xml:space="preserve"> such as poverty and armed conflict.</w:t>
      </w:r>
      <w:r w:rsidRPr="0035771E">
        <w:rPr>
          <w:rFonts w:eastAsia="SimSun"/>
          <w:sz w:val="18"/>
          <w:vertAlign w:val="superscript"/>
          <w:lang w:eastAsia="zh-CN"/>
        </w:rPr>
        <w:footnoteReference w:id="66"/>
      </w:r>
      <w:r>
        <w:rPr>
          <w:lang w:eastAsia="zh-CN"/>
        </w:rPr>
        <w:t xml:space="preserve"> </w:t>
      </w:r>
      <w:r w:rsidRPr="00E86DBA">
        <w:rPr>
          <w:color w:val="000000"/>
          <w:lang w:eastAsia="zh-CN"/>
        </w:rPr>
        <w:t xml:space="preserve">The impact of such </w:t>
      </w:r>
      <w:r>
        <w:rPr>
          <w:color w:val="000000"/>
          <w:lang w:eastAsia="zh-CN"/>
        </w:rPr>
        <w:t xml:space="preserve">multiple forms of </w:t>
      </w:r>
      <w:r w:rsidRPr="00E86DBA">
        <w:rPr>
          <w:color w:val="000000"/>
          <w:lang w:eastAsia="zh-CN"/>
        </w:rPr>
        <w:t>discrimination may be felt at an individual level and a societal one, as LGBT persons, deprived of access to such basic rights as employment, health, education and housing find themselves in poverty, cut off from economic opportunity.</w:t>
      </w:r>
      <w:r w:rsidRPr="0035771E">
        <w:rPr>
          <w:rFonts w:eastAsia="SimSun"/>
          <w:color w:val="000000"/>
          <w:sz w:val="18"/>
          <w:szCs w:val="18"/>
          <w:vertAlign w:val="superscript"/>
          <w:lang w:eastAsia="zh-CN"/>
        </w:rPr>
        <w:footnoteReference w:id="67"/>
      </w:r>
      <w:r w:rsidRPr="00E86DBA">
        <w:rPr>
          <w:color w:val="000000"/>
          <w:lang w:eastAsia="zh-CN"/>
        </w:rPr>
        <w:t xml:space="preserve"> Studies undertaken in several countries suggest that rates of poverty, homelessness and food insecurity are higher among LGBT individuals than in the wider community.</w:t>
      </w:r>
      <w:r w:rsidRPr="0035771E">
        <w:rPr>
          <w:color w:val="000000"/>
          <w:sz w:val="18"/>
          <w:szCs w:val="18"/>
          <w:vertAlign w:val="superscript"/>
          <w:lang w:eastAsia="zh-CN"/>
        </w:rPr>
        <w:footnoteReference w:id="68"/>
      </w:r>
      <w:r w:rsidRPr="00E86DBA">
        <w:rPr>
          <w:color w:val="000000"/>
          <w:lang w:eastAsia="zh-CN"/>
        </w:rPr>
        <w:t xml:space="preserve"> The World Bank has documented the negative impact of homophobia on economic growth and development</w:t>
      </w:r>
      <w:r w:rsidRPr="00E86DBA">
        <w:rPr>
          <w:rFonts w:eastAsia="SimSun" w:cs="Times"/>
          <w:color w:val="000000"/>
          <w:szCs w:val="30"/>
          <w:lang w:val="en-US" w:eastAsia="zh-CN"/>
        </w:rPr>
        <w:t>.</w:t>
      </w:r>
      <w:r w:rsidRPr="0035771E">
        <w:rPr>
          <w:rFonts w:eastAsia="SimSun" w:cs="Times"/>
          <w:color w:val="000000"/>
          <w:sz w:val="18"/>
          <w:szCs w:val="18"/>
          <w:vertAlign w:val="superscript"/>
          <w:lang w:val="en-US" w:eastAsia="zh-CN"/>
        </w:rPr>
        <w:footnoteReference w:id="69"/>
      </w:r>
    </w:p>
    <w:p w:rsidR="00E759E1" w:rsidRPr="00E90A18" w:rsidRDefault="00E759E1" w:rsidP="00023DDC">
      <w:pPr>
        <w:pStyle w:val="H1G"/>
        <w:spacing w:line="240" w:lineRule="atLeast"/>
        <w:rPr>
          <w:lang w:eastAsia="zh-CN"/>
        </w:rPr>
      </w:pPr>
      <w:r w:rsidRPr="00E90A18">
        <w:rPr>
          <w:lang w:eastAsia="zh-CN"/>
        </w:rPr>
        <w:tab/>
        <w:t>A.</w:t>
      </w:r>
      <w:r w:rsidRPr="00E90A18">
        <w:rPr>
          <w:lang w:eastAsia="zh-CN"/>
        </w:rPr>
        <w:tab/>
        <w:t>Discriminatory laws</w:t>
      </w:r>
    </w:p>
    <w:p w:rsidR="00E759E1" w:rsidRPr="00E90A18" w:rsidRDefault="00E759E1" w:rsidP="00023DDC">
      <w:pPr>
        <w:pStyle w:val="H23G"/>
        <w:spacing w:line="240" w:lineRule="atLeast"/>
        <w:rPr>
          <w:lang w:eastAsia="zh-CN"/>
        </w:rPr>
      </w:pPr>
      <w:r w:rsidRPr="00FB0EE9">
        <w:rPr>
          <w:szCs w:val="24"/>
          <w:lang w:eastAsia="zh-CN"/>
        </w:rPr>
        <w:tab/>
      </w:r>
      <w:r w:rsidRPr="00E90A18">
        <w:rPr>
          <w:lang w:eastAsia="zh-CN"/>
        </w:rPr>
        <w:t>1.</w:t>
      </w:r>
      <w:r w:rsidRPr="00E90A18">
        <w:rPr>
          <w:lang w:eastAsia="zh-CN"/>
        </w:rPr>
        <w:tab/>
        <w:t>Laws criminalizing homosexuality and other laws used to penalize individuals because of sexual orientation or gender identity</w:t>
      </w:r>
    </w:p>
    <w:p w:rsidR="00E759E1" w:rsidRPr="00B2489C" w:rsidRDefault="00E759E1" w:rsidP="00023DDC">
      <w:pPr>
        <w:pStyle w:val="SingleTxtG"/>
        <w:rPr>
          <w:lang w:eastAsia="zh-CN"/>
        </w:rPr>
      </w:pPr>
      <w:r w:rsidRPr="00B2489C">
        <w:rPr>
          <w:lang w:eastAsia="zh-CN"/>
        </w:rPr>
        <w:t>4</w:t>
      </w:r>
      <w:r>
        <w:rPr>
          <w:lang w:eastAsia="zh-CN"/>
        </w:rPr>
        <w:t>3</w:t>
      </w:r>
      <w:r w:rsidRPr="00B2489C">
        <w:rPr>
          <w:lang w:eastAsia="zh-CN"/>
        </w:rPr>
        <w:t>.</w:t>
      </w:r>
      <w:r w:rsidRPr="00B2489C">
        <w:rPr>
          <w:lang w:eastAsia="zh-CN"/>
        </w:rPr>
        <w:tab/>
        <w:t xml:space="preserve">States that criminalize consensual homosexual acts are in breach of international human rights law since these laws, by their mere existence, violate </w:t>
      </w:r>
      <w:r>
        <w:rPr>
          <w:lang w:eastAsia="zh-CN"/>
        </w:rPr>
        <w:t xml:space="preserve">the </w:t>
      </w:r>
      <w:r w:rsidRPr="00B2489C">
        <w:rPr>
          <w:lang w:eastAsia="zh-CN"/>
        </w:rPr>
        <w:t xml:space="preserve">rights to privacy and non-discrimination. </w:t>
      </w:r>
      <w:r>
        <w:rPr>
          <w:lang w:eastAsia="zh-CN"/>
        </w:rPr>
        <w:t>A</w:t>
      </w:r>
      <w:r w:rsidRPr="00B2489C">
        <w:rPr>
          <w:lang w:eastAsia="zh-CN"/>
        </w:rPr>
        <w:t>rrest</w:t>
      </w:r>
      <w:r>
        <w:rPr>
          <w:lang w:eastAsia="zh-CN"/>
        </w:rPr>
        <w:t>s</w:t>
      </w:r>
      <w:r w:rsidRPr="00B2489C">
        <w:rPr>
          <w:lang w:eastAsia="zh-CN"/>
        </w:rPr>
        <w:t xml:space="preserve"> and </w:t>
      </w:r>
      <w:r>
        <w:rPr>
          <w:lang w:eastAsia="zh-CN"/>
        </w:rPr>
        <w:t xml:space="preserve">the </w:t>
      </w:r>
      <w:r w:rsidRPr="00B2489C">
        <w:rPr>
          <w:lang w:eastAsia="zh-CN"/>
        </w:rPr>
        <w:t xml:space="preserve">detention of individuals on charges relating to sexual orientation and gender identity – including offences not directly related to sexual conduct, such as those pertaining to physical appearance or so-called “public scandal” – </w:t>
      </w:r>
      <w:r>
        <w:rPr>
          <w:lang w:eastAsia="zh-CN"/>
        </w:rPr>
        <w:t>are</w:t>
      </w:r>
      <w:r w:rsidRPr="00B2489C">
        <w:rPr>
          <w:lang w:eastAsia="zh-CN"/>
        </w:rPr>
        <w:t xml:space="preserve"> discriminatory and arbitrary.</w:t>
      </w:r>
      <w:r w:rsidRPr="00491C74">
        <w:rPr>
          <w:rStyle w:val="FootnoteReference"/>
        </w:rPr>
        <w:footnoteReference w:id="70"/>
      </w:r>
      <w:r w:rsidRPr="00B2489C">
        <w:rPr>
          <w:lang w:eastAsia="zh-CN"/>
        </w:rPr>
        <w:t xml:space="preserve"> Since its landmark decision in </w:t>
      </w:r>
      <w:r w:rsidRPr="00B2489C">
        <w:rPr>
          <w:i/>
          <w:lang w:eastAsia="zh-CN"/>
        </w:rPr>
        <w:t>Toonen v. Australia</w:t>
      </w:r>
      <w:r w:rsidRPr="00B2489C">
        <w:rPr>
          <w:lang w:eastAsia="zh-CN"/>
        </w:rPr>
        <w:t xml:space="preserve"> </w:t>
      </w:r>
      <w:r w:rsidR="00192722">
        <w:rPr>
          <w:lang w:eastAsia="zh-CN"/>
        </w:rPr>
        <w:t>(</w:t>
      </w:r>
      <w:r w:rsidR="00192722">
        <w:t>communication No. 488/1992)</w:t>
      </w:r>
      <w:r w:rsidR="00192722" w:rsidRPr="00B2489C">
        <w:rPr>
          <w:lang w:eastAsia="zh-CN"/>
        </w:rPr>
        <w:t xml:space="preserve"> </w:t>
      </w:r>
      <w:r w:rsidRPr="00B2489C">
        <w:rPr>
          <w:lang w:eastAsia="zh-CN"/>
        </w:rPr>
        <w:t>in 1994, the Human Rights Committee and other mechanisms have repeatedly urged States to reform laws criminalizing consensual same-sex conduct</w:t>
      </w:r>
      <w:r>
        <w:rPr>
          <w:lang w:eastAsia="zh-CN"/>
        </w:rPr>
        <w:t>,</w:t>
      </w:r>
      <w:r w:rsidRPr="00B2489C">
        <w:rPr>
          <w:lang w:eastAsia="zh-CN"/>
        </w:rPr>
        <w:t xml:space="preserve"> and welcomed their repeal. </w:t>
      </w:r>
    </w:p>
    <w:p w:rsidR="00E759E1" w:rsidRPr="00B2489C" w:rsidRDefault="00E759E1" w:rsidP="00023DDC">
      <w:pPr>
        <w:pStyle w:val="SingleTxtG"/>
        <w:rPr>
          <w:lang w:eastAsia="zh-CN"/>
        </w:rPr>
      </w:pPr>
      <w:r w:rsidRPr="00B2489C">
        <w:rPr>
          <w:lang w:eastAsia="zh-CN"/>
        </w:rPr>
        <w:t>4</w:t>
      </w:r>
      <w:r>
        <w:rPr>
          <w:lang w:eastAsia="zh-CN"/>
        </w:rPr>
        <w:t>4</w:t>
      </w:r>
      <w:r w:rsidRPr="00B2489C">
        <w:rPr>
          <w:lang w:eastAsia="zh-CN"/>
        </w:rPr>
        <w:t>.</w:t>
      </w:r>
      <w:r w:rsidRPr="00B2489C">
        <w:rPr>
          <w:lang w:eastAsia="zh-CN"/>
        </w:rPr>
        <w:tab/>
        <w:t xml:space="preserve">At least 76 </w:t>
      </w:r>
      <w:r>
        <w:rPr>
          <w:lang w:eastAsia="zh-CN"/>
        </w:rPr>
        <w:t>States</w:t>
      </w:r>
      <w:r w:rsidRPr="00B2489C">
        <w:rPr>
          <w:lang w:eastAsia="zh-CN"/>
        </w:rPr>
        <w:t xml:space="preserve"> retain laws that are used to criminalize and harass people on the basis of sexual orientation and gender identity or expression, including laws criminalizing </w:t>
      </w:r>
      <w:r w:rsidRPr="00B2489C">
        <w:rPr>
          <w:lang w:eastAsia="zh-CN"/>
        </w:rPr>
        <w:lastRenderedPageBreak/>
        <w:t>consensual, adult same-sex relationships.</w:t>
      </w:r>
      <w:r w:rsidRPr="0035771E">
        <w:rPr>
          <w:rFonts w:eastAsia="SimSun"/>
          <w:sz w:val="18"/>
          <w:vertAlign w:val="superscript"/>
          <w:lang w:eastAsia="zh-CN"/>
        </w:rPr>
        <w:footnoteReference w:id="71"/>
      </w:r>
      <w:r w:rsidRPr="00B2489C">
        <w:rPr>
          <w:lang w:eastAsia="zh-CN"/>
        </w:rPr>
        <w:t xml:space="preserve"> Sometimes inherited as colonial-era legislation, these</w:t>
      </w:r>
      <w:r>
        <w:rPr>
          <w:lang w:eastAsia="zh-CN"/>
        </w:rPr>
        <w:t xml:space="preserve"> laws</w:t>
      </w:r>
      <w:r w:rsidRPr="00B2489C">
        <w:rPr>
          <w:lang w:eastAsia="zh-CN"/>
        </w:rPr>
        <w:t xml:space="preserve"> typically prohibit certain types of sexual activity or any intimacy between persons of the same sex. Cross-dressing or “imitating the opposite sex” is also sometimes penalized.</w:t>
      </w:r>
      <w:r w:rsidRPr="0035771E">
        <w:rPr>
          <w:rFonts w:eastAsia="SimSun"/>
          <w:sz w:val="18"/>
          <w:vertAlign w:val="superscript"/>
          <w:lang w:eastAsia="zh-CN"/>
        </w:rPr>
        <w:footnoteReference w:id="72"/>
      </w:r>
      <w:r w:rsidRPr="00B2489C">
        <w:rPr>
          <w:lang w:eastAsia="zh-CN"/>
        </w:rPr>
        <w:t xml:space="preserve"> Wording often refers to vague and undefined concepts, such as “crimes against the order of nature” or “morality”, “debauchery”, “indecent acts” or “grave scandal”</w:t>
      </w:r>
      <w:r>
        <w:rPr>
          <w:lang w:eastAsia="zh-CN"/>
        </w:rPr>
        <w:t>.</w:t>
      </w:r>
      <w:r w:rsidRPr="0035771E">
        <w:rPr>
          <w:rFonts w:eastAsia="SimSun"/>
          <w:sz w:val="18"/>
          <w:vertAlign w:val="superscript"/>
          <w:lang w:eastAsia="zh-CN"/>
        </w:rPr>
        <w:footnoteReference w:id="73"/>
      </w:r>
      <w:r w:rsidRPr="00B2489C">
        <w:rPr>
          <w:lang w:eastAsia="zh-CN"/>
        </w:rPr>
        <w:t xml:space="preserve"> Penalties include lashings, life imprisonment and the death penalty.</w:t>
      </w:r>
    </w:p>
    <w:p w:rsidR="00E759E1" w:rsidRPr="00B2489C" w:rsidRDefault="00E759E1" w:rsidP="00023DDC">
      <w:pPr>
        <w:pStyle w:val="SingleTxtG"/>
        <w:rPr>
          <w:lang w:eastAsia="zh-CN"/>
        </w:rPr>
      </w:pPr>
      <w:r w:rsidRPr="00B2489C">
        <w:rPr>
          <w:lang w:eastAsia="zh-CN"/>
        </w:rPr>
        <w:t>4</w:t>
      </w:r>
      <w:r>
        <w:rPr>
          <w:lang w:eastAsia="zh-CN"/>
        </w:rPr>
        <w:t>5.</w:t>
      </w:r>
      <w:r w:rsidRPr="00B2489C">
        <w:rPr>
          <w:lang w:eastAsia="zh-CN"/>
        </w:rPr>
        <w:tab/>
        <w:t>Human rights mechanisms continue to emphasize links between criminalization and homophobic and transphobic hate crime</w:t>
      </w:r>
      <w:r>
        <w:rPr>
          <w:lang w:eastAsia="zh-CN"/>
        </w:rPr>
        <w:t>s</w:t>
      </w:r>
      <w:r w:rsidRPr="00B2489C">
        <w:rPr>
          <w:lang w:eastAsia="zh-CN"/>
        </w:rPr>
        <w:t>, police abuse, torture, family and community violence and stigmatization, as well as the constraints that criminalization put on the work of human rights defenders.</w:t>
      </w:r>
      <w:r w:rsidRPr="0035771E">
        <w:rPr>
          <w:rFonts w:eastAsia="SimSun"/>
          <w:sz w:val="18"/>
          <w:vertAlign w:val="superscript"/>
          <w:lang w:eastAsia="zh-CN"/>
        </w:rPr>
        <w:footnoteReference w:id="74"/>
      </w:r>
      <w:r w:rsidRPr="00B2489C">
        <w:rPr>
          <w:lang w:eastAsia="zh-CN"/>
        </w:rPr>
        <w:t xml:space="preserve"> The Special Rapporteur on freedom of religion </w:t>
      </w:r>
      <w:r w:rsidR="00A70DA9">
        <w:rPr>
          <w:lang w:eastAsia="zh-CN"/>
        </w:rPr>
        <w:t xml:space="preserve">or belief </w:t>
      </w:r>
      <w:r w:rsidRPr="00B2489C">
        <w:rPr>
          <w:lang w:eastAsia="zh-CN"/>
        </w:rPr>
        <w:t>has noted that these laws may give a pretext to vigilante groups and other perpetrators of hatred for intimidating people and committing acts of violence</w:t>
      </w:r>
      <w:r>
        <w:rPr>
          <w:lang w:eastAsia="zh-CN"/>
        </w:rPr>
        <w:t>.</w:t>
      </w:r>
      <w:r w:rsidRPr="0035771E">
        <w:rPr>
          <w:rFonts w:eastAsia="SimSun"/>
          <w:sz w:val="18"/>
          <w:vertAlign w:val="superscript"/>
          <w:lang w:eastAsia="zh-CN"/>
        </w:rPr>
        <w:footnoteReference w:id="75"/>
      </w:r>
    </w:p>
    <w:p w:rsidR="00E759E1" w:rsidRPr="00E90A18" w:rsidRDefault="00E759E1" w:rsidP="00023DDC">
      <w:pPr>
        <w:pStyle w:val="H23G"/>
        <w:spacing w:line="240" w:lineRule="atLeast"/>
        <w:rPr>
          <w:lang w:eastAsia="zh-CN"/>
        </w:rPr>
      </w:pPr>
      <w:r>
        <w:rPr>
          <w:lang w:eastAsia="zh-CN"/>
        </w:rPr>
        <w:tab/>
      </w:r>
      <w:r w:rsidRPr="00E90A18">
        <w:rPr>
          <w:lang w:eastAsia="zh-CN"/>
        </w:rPr>
        <w:t>2.</w:t>
      </w:r>
      <w:r w:rsidRPr="00E90A18">
        <w:rPr>
          <w:lang w:eastAsia="zh-CN"/>
        </w:rPr>
        <w:tab/>
        <w:t>Death penalty</w:t>
      </w:r>
    </w:p>
    <w:p w:rsidR="00E759E1" w:rsidRPr="00B2489C" w:rsidRDefault="00E759E1" w:rsidP="00023DDC">
      <w:pPr>
        <w:pStyle w:val="SingleTxtG"/>
        <w:rPr>
          <w:lang w:eastAsia="zh-CN"/>
        </w:rPr>
      </w:pPr>
      <w:r w:rsidRPr="00B2489C">
        <w:rPr>
          <w:lang w:eastAsia="zh-CN"/>
        </w:rPr>
        <w:t>4</w:t>
      </w:r>
      <w:r>
        <w:rPr>
          <w:lang w:eastAsia="zh-CN"/>
        </w:rPr>
        <w:t>6</w:t>
      </w:r>
      <w:r w:rsidRPr="00B2489C">
        <w:rPr>
          <w:lang w:eastAsia="zh-CN"/>
        </w:rPr>
        <w:t>.</w:t>
      </w:r>
      <w:r w:rsidRPr="00B2489C">
        <w:rPr>
          <w:lang w:eastAsia="zh-CN"/>
        </w:rPr>
        <w:tab/>
        <w:t xml:space="preserve">In </w:t>
      </w:r>
      <w:r>
        <w:rPr>
          <w:lang w:eastAsia="zh-CN"/>
        </w:rPr>
        <w:t xml:space="preserve">the Islamic Republic of </w:t>
      </w:r>
      <w:r w:rsidRPr="00B2489C">
        <w:rPr>
          <w:lang w:eastAsia="zh-CN"/>
        </w:rPr>
        <w:t xml:space="preserve">Iran, Mauritania, Saudi Arabia, </w:t>
      </w:r>
      <w:r>
        <w:rPr>
          <w:lang w:eastAsia="zh-CN"/>
        </w:rPr>
        <w:t xml:space="preserve">the </w:t>
      </w:r>
      <w:r w:rsidRPr="00B2489C">
        <w:rPr>
          <w:lang w:eastAsia="zh-CN"/>
        </w:rPr>
        <w:t xml:space="preserve">Sudan and Yemen, </w:t>
      </w:r>
      <w:r>
        <w:rPr>
          <w:lang w:eastAsia="zh-CN"/>
        </w:rPr>
        <w:t>and</w:t>
      </w:r>
      <w:r w:rsidRPr="00B2489C">
        <w:rPr>
          <w:lang w:eastAsia="zh-CN"/>
        </w:rPr>
        <w:t xml:space="preserve"> in parts of Nigeria and Somalia, the death penalty may be applied in cases of consensual homosexual conduct. Death is also the prescribed punishment for homosexuality in </w:t>
      </w:r>
      <w:r>
        <w:rPr>
          <w:lang w:eastAsia="zh-CN"/>
        </w:rPr>
        <w:t xml:space="preserve">the </w:t>
      </w:r>
      <w:r w:rsidRPr="00B2489C">
        <w:rPr>
          <w:lang w:eastAsia="zh-CN"/>
        </w:rPr>
        <w:t>revised penal code</w:t>
      </w:r>
      <w:r>
        <w:rPr>
          <w:lang w:eastAsia="zh-CN"/>
        </w:rPr>
        <w:t xml:space="preserve"> of Brunei</w:t>
      </w:r>
      <w:r w:rsidRPr="00B2489C">
        <w:rPr>
          <w:lang w:eastAsia="zh-CN"/>
        </w:rPr>
        <w:t xml:space="preserve">, although relevant provisions have yet to take effect. </w:t>
      </w:r>
    </w:p>
    <w:p w:rsidR="00E759E1" w:rsidRPr="00B2489C" w:rsidRDefault="00E759E1" w:rsidP="00023DDC">
      <w:pPr>
        <w:pStyle w:val="SingleTxtG"/>
        <w:rPr>
          <w:lang w:eastAsia="zh-CN"/>
        </w:rPr>
      </w:pPr>
      <w:r w:rsidRPr="00B2489C">
        <w:rPr>
          <w:lang w:eastAsia="zh-CN"/>
        </w:rPr>
        <w:t>4</w:t>
      </w:r>
      <w:r>
        <w:rPr>
          <w:lang w:eastAsia="zh-CN"/>
        </w:rPr>
        <w:t>7</w:t>
      </w:r>
      <w:r w:rsidRPr="00B2489C">
        <w:rPr>
          <w:lang w:eastAsia="zh-CN"/>
        </w:rPr>
        <w:t>.</w:t>
      </w:r>
      <w:r w:rsidRPr="00B2489C">
        <w:rPr>
          <w:lang w:eastAsia="zh-CN"/>
        </w:rPr>
        <w:tab/>
      </w:r>
      <w:r>
        <w:rPr>
          <w:lang w:eastAsia="zh-CN"/>
        </w:rPr>
        <w:t>The a</w:t>
      </w:r>
      <w:r w:rsidRPr="00B2489C">
        <w:rPr>
          <w:lang w:eastAsia="zh-CN"/>
        </w:rPr>
        <w:t xml:space="preserve">pplication of the death penalty in this context represents a grave violation of human rights, including </w:t>
      </w:r>
      <w:r>
        <w:rPr>
          <w:lang w:eastAsia="zh-CN"/>
        </w:rPr>
        <w:t xml:space="preserve">the </w:t>
      </w:r>
      <w:r w:rsidRPr="00B2489C">
        <w:rPr>
          <w:lang w:eastAsia="zh-CN"/>
        </w:rPr>
        <w:t>rights to life, privacy and non-discrimination. The Human Rights Committee and the Committee on Economic, Social and Cultural Rights have repeatedly expressed concern about death sentences for c</w:t>
      </w:r>
      <w:r>
        <w:rPr>
          <w:lang w:eastAsia="zh-CN"/>
        </w:rPr>
        <w:t>onsensual adult sexual conduct.</w:t>
      </w:r>
      <w:r w:rsidRPr="0035771E">
        <w:rPr>
          <w:rFonts w:eastAsia="SimSun"/>
          <w:sz w:val="18"/>
          <w:vertAlign w:val="superscript"/>
          <w:lang w:eastAsia="zh-CN"/>
        </w:rPr>
        <w:footnoteReference w:id="76"/>
      </w:r>
      <w:r w:rsidRPr="00B2489C">
        <w:rPr>
          <w:lang w:eastAsia="zh-CN"/>
        </w:rPr>
        <w:t xml:space="preserve"> The Special Rapporteur on extrajudicial</w:t>
      </w:r>
      <w:r>
        <w:rPr>
          <w:lang w:eastAsia="zh-CN"/>
        </w:rPr>
        <w:t>, summary or arbitrary</w:t>
      </w:r>
      <w:r w:rsidRPr="00B2489C">
        <w:rPr>
          <w:lang w:eastAsia="zh-CN"/>
        </w:rPr>
        <w:t xml:space="preserve"> executions has reiterated that death sentences may only be imposed for the most serious crimes and that offen</w:t>
      </w:r>
      <w:r>
        <w:rPr>
          <w:lang w:eastAsia="zh-CN"/>
        </w:rPr>
        <w:t>c</w:t>
      </w:r>
      <w:r w:rsidRPr="00B2489C">
        <w:rPr>
          <w:lang w:eastAsia="zh-CN"/>
        </w:rPr>
        <w:t>es related to homosexual conduct and sexual relations between consenting adu</w:t>
      </w:r>
      <w:r>
        <w:rPr>
          <w:lang w:eastAsia="zh-CN"/>
        </w:rPr>
        <w:t>lts do not meet that threshold.</w:t>
      </w:r>
      <w:r w:rsidRPr="0035771E">
        <w:rPr>
          <w:rFonts w:eastAsia="SimSun"/>
          <w:sz w:val="18"/>
          <w:vertAlign w:val="superscript"/>
          <w:lang w:eastAsia="zh-CN"/>
        </w:rPr>
        <w:footnoteReference w:id="77"/>
      </w:r>
      <w:r w:rsidRPr="00B2489C">
        <w:rPr>
          <w:lang w:eastAsia="zh-CN"/>
        </w:rPr>
        <w:t xml:space="preserve"> </w:t>
      </w:r>
    </w:p>
    <w:p w:rsidR="00E759E1" w:rsidRPr="00E90A18" w:rsidRDefault="00E759E1" w:rsidP="00023DDC">
      <w:pPr>
        <w:pStyle w:val="H23G"/>
        <w:spacing w:line="240" w:lineRule="atLeast"/>
        <w:rPr>
          <w:lang w:eastAsia="zh-CN"/>
        </w:rPr>
      </w:pPr>
      <w:r>
        <w:rPr>
          <w:lang w:eastAsia="zh-CN"/>
        </w:rPr>
        <w:tab/>
      </w:r>
      <w:r w:rsidRPr="00E90A18">
        <w:rPr>
          <w:lang w:eastAsia="zh-CN"/>
        </w:rPr>
        <w:t>3.</w:t>
      </w:r>
      <w:r w:rsidRPr="00E90A18">
        <w:rPr>
          <w:lang w:eastAsia="zh-CN"/>
        </w:rPr>
        <w:tab/>
        <w:t xml:space="preserve">“Anti-propaganda” laws </w:t>
      </w:r>
    </w:p>
    <w:p w:rsidR="00E759E1" w:rsidRPr="00B2489C" w:rsidRDefault="00E759E1" w:rsidP="00023DDC">
      <w:pPr>
        <w:pStyle w:val="SingleTxtG"/>
        <w:rPr>
          <w:lang w:eastAsia="zh-CN"/>
        </w:rPr>
      </w:pPr>
      <w:r w:rsidRPr="00B2489C">
        <w:rPr>
          <w:lang w:eastAsia="zh-CN"/>
        </w:rPr>
        <w:t>4</w:t>
      </w:r>
      <w:r>
        <w:rPr>
          <w:lang w:eastAsia="zh-CN"/>
        </w:rPr>
        <w:t>8</w:t>
      </w:r>
      <w:r w:rsidRPr="00B2489C">
        <w:rPr>
          <w:lang w:eastAsia="zh-CN"/>
        </w:rPr>
        <w:t>.</w:t>
      </w:r>
      <w:r w:rsidRPr="00B2489C">
        <w:rPr>
          <w:lang w:eastAsia="zh-CN"/>
        </w:rPr>
        <w:tab/>
        <w:t xml:space="preserve">In the past two years, laws have been enacted or proposed in several </w:t>
      </w:r>
      <w:r>
        <w:rPr>
          <w:lang w:eastAsia="zh-CN"/>
        </w:rPr>
        <w:t>States</w:t>
      </w:r>
      <w:r w:rsidRPr="00B2489C">
        <w:rPr>
          <w:lang w:eastAsia="zh-CN"/>
        </w:rPr>
        <w:t xml:space="preserve"> that seek to restrict public discussion of sexual orientation under the guise of “protecting minors” from information on so-called “no</w:t>
      </w:r>
      <w:r>
        <w:rPr>
          <w:lang w:eastAsia="zh-CN"/>
        </w:rPr>
        <w:t>n-traditional sexual relations”.</w:t>
      </w:r>
      <w:r w:rsidRPr="0035771E">
        <w:rPr>
          <w:sz w:val="18"/>
          <w:vertAlign w:val="superscript"/>
          <w:lang w:eastAsia="zh-CN"/>
        </w:rPr>
        <w:footnoteReference w:id="78"/>
      </w:r>
      <w:r w:rsidRPr="00B2489C">
        <w:rPr>
          <w:lang w:eastAsia="zh-CN"/>
        </w:rPr>
        <w:t xml:space="preserve"> These laws, sometimes called “anti-propaganda” laws, are often vaguely worded and arbitrarily restrict </w:t>
      </w:r>
      <w:r w:rsidR="00491109">
        <w:rPr>
          <w:lang w:eastAsia="zh-CN"/>
        </w:rPr>
        <w:t xml:space="preserve">the </w:t>
      </w:r>
      <w:r w:rsidRPr="00B2489C">
        <w:rPr>
          <w:lang w:eastAsia="zh-CN"/>
        </w:rPr>
        <w:t xml:space="preserve">rights to freedom of expression and assembly. They also contribute to ongoing persecution of members of the LGBT community, including </w:t>
      </w:r>
      <w:r>
        <w:rPr>
          <w:lang w:eastAsia="zh-CN"/>
        </w:rPr>
        <w:t>young persons</w:t>
      </w:r>
      <w:r w:rsidRPr="00B2489C">
        <w:rPr>
          <w:lang w:eastAsia="zh-CN"/>
        </w:rPr>
        <w:t xml:space="preserve"> who identify or are perceived as LGBT.</w:t>
      </w:r>
      <w:r w:rsidRPr="0035771E">
        <w:rPr>
          <w:rFonts w:eastAsia="SimSun"/>
          <w:sz w:val="18"/>
          <w:vertAlign w:val="superscript"/>
          <w:lang w:eastAsia="zh-CN"/>
        </w:rPr>
        <w:footnoteReference w:id="79"/>
      </w:r>
      <w:r w:rsidRPr="00B2489C">
        <w:rPr>
          <w:lang w:eastAsia="zh-CN"/>
        </w:rPr>
        <w:t xml:space="preserve"> The </w:t>
      </w:r>
      <w:r>
        <w:rPr>
          <w:lang w:eastAsia="zh-CN"/>
        </w:rPr>
        <w:t>S</w:t>
      </w:r>
      <w:r w:rsidRPr="00B2489C">
        <w:rPr>
          <w:lang w:eastAsia="zh-CN"/>
        </w:rPr>
        <w:t xml:space="preserve">pecial </w:t>
      </w:r>
      <w:r w:rsidR="00491109">
        <w:rPr>
          <w:lang w:eastAsia="zh-CN"/>
        </w:rPr>
        <w:t xml:space="preserve">procedures mandate holders </w:t>
      </w:r>
      <w:r w:rsidRPr="00B2489C">
        <w:rPr>
          <w:lang w:eastAsia="zh-CN"/>
        </w:rPr>
        <w:t xml:space="preserve">on human rights defenders, on freedom of </w:t>
      </w:r>
      <w:r>
        <w:rPr>
          <w:lang w:eastAsia="zh-CN"/>
        </w:rPr>
        <w:t xml:space="preserve">opinion and </w:t>
      </w:r>
      <w:r w:rsidRPr="00B2489C">
        <w:rPr>
          <w:lang w:eastAsia="zh-CN"/>
        </w:rPr>
        <w:t xml:space="preserve">expression and on freedom of peaceful assembly and of association </w:t>
      </w:r>
      <w:r w:rsidRPr="00B2489C">
        <w:rPr>
          <w:lang w:eastAsia="zh-CN"/>
        </w:rPr>
        <w:lastRenderedPageBreak/>
        <w:t xml:space="preserve">have expressed concerns in this context about developments in Kyrgyzstan, Nigeria, </w:t>
      </w:r>
      <w:r>
        <w:rPr>
          <w:lang w:eastAsia="zh-CN"/>
        </w:rPr>
        <w:t xml:space="preserve">the Republic of </w:t>
      </w:r>
      <w:r w:rsidRPr="00B2489C">
        <w:rPr>
          <w:lang w:eastAsia="zh-CN"/>
        </w:rPr>
        <w:t>Moldova, the Russian Federation, Uganda and Ukraine.</w:t>
      </w:r>
      <w:r w:rsidRPr="0035771E">
        <w:rPr>
          <w:rFonts w:eastAsia="SimSun"/>
          <w:sz w:val="18"/>
          <w:szCs w:val="18"/>
          <w:vertAlign w:val="superscript"/>
          <w:lang w:eastAsia="zh-CN"/>
        </w:rPr>
        <w:footnoteReference w:id="80"/>
      </w:r>
      <w:r w:rsidRPr="00B2489C">
        <w:rPr>
          <w:lang w:eastAsia="zh-CN"/>
        </w:rPr>
        <w:t xml:space="preserve"> </w:t>
      </w:r>
    </w:p>
    <w:p w:rsidR="00E759E1" w:rsidRPr="00B2489C" w:rsidRDefault="00E759E1" w:rsidP="00023DDC">
      <w:pPr>
        <w:pStyle w:val="SingleTxtG"/>
        <w:rPr>
          <w:lang w:eastAsia="zh-CN"/>
        </w:rPr>
      </w:pPr>
      <w:r w:rsidRPr="00B2489C">
        <w:rPr>
          <w:lang w:eastAsia="zh-CN"/>
        </w:rPr>
        <w:t>4</w:t>
      </w:r>
      <w:r>
        <w:rPr>
          <w:lang w:eastAsia="zh-CN"/>
        </w:rPr>
        <w:t>9</w:t>
      </w:r>
      <w:r w:rsidRPr="00B2489C">
        <w:rPr>
          <w:lang w:eastAsia="zh-CN"/>
        </w:rPr>
        <w:t>.</w:t>
      </w:r>
      <w:r w:rsidRPr="00B2489C">
        <w:rPr>
          <w:lang w:eastAsia="zh-CN"/>
        </w:rPr>
        <w:tab/>
        <w:t>In some cases, these laws have been accompanied by bans on non-governmental organizations receiving funding from abroad, allegedly in order to curb the influence of “foreign agents”.</w:t>
      </w:r>
      <w:r w:rsidRPr="0035771E">
        <w:rPr>
          <w:sz w:val="18"/>
          <w:vertAlign w:val="superscript"/>
          <w:lang w:eastAsia="zh-CN"/>
        </w:rPr>
        <w:footnoteReference w:id="81"/>
      </w:r>
      <w:r w:rsidRPr="00B2489C">
        <w:rPr>
          <w:lang w:eastAsia="zh-CN"/>
        </w:rPr>
        <w:t xml:space="preserve"> Such measures put defenders at risk of arrest, violence and discrimination, and can threaten rights relating to</w:t>
      </w:r>
      <w:r w:rsidR="00222110">
        <w:rPr>
          <w:lang w:eastAsia="zh-CN"/>
        </w:rPr>
        <w:t>, inter alia,</w:t>
      </w:r>
      <w:r w:rsidRPr="00B2489C">
        <w:rPr>
          <w:lang w:eastAsia="zh-CN"/>
        </w:rPr>
        <w:t xml:space="preserve"> health, education, cultural expression and information.</w:t>
      </w:r>
      <w:r w:rsidRPr="0035771E">
        <w:rPr>
          <w:rFonts w:eastAsia="SimSun"/>
          <w:sz w:val="18"/>
          <w:vertAlign w:val="superscript"/>
          <w:lang w:eastAsia="zh-CN"/>
        </w:rPr>
        <w:footnoteReference w:id="82"/>
      </w:r>
    </w:p>
    <w:p w:rsidR="00E759E1" w:rsidRPr="00B2489C" w:rsidRDefault="00E759E1" w:rsidP="00023DDC">
      <w:pPr>
        <w:pStyle w:val="H1G"/>
        <w:spacing w:line="240" w:lineRule="atLeast"/>
        <w:rPr>
          <w:szCs w:val="22"/>
          <w:lang w:eastAsia="zh-CN"/>
        </w:rPr>
      </w:pPr>
      <w:r>
        <w:rPr>
          <w:lang w:eastAsia="zh-CN"/>
        </w:rPr>
        <w:tab/>
      </w:r>
      <w:r w:rsidRPr="00E90A18">
        <w:rPr>
          <w:lang w:eastAsia="zh-CN"/>
        </w:rPr>
        <w:t>B.</w:t>
      </w:r>
      <w:r w:rsidRPr="00E90A18">
        <w:rPr>
          <w:lang w:eastAsia="zh-CN"/>
        </w:rPr>
        <w:tab/>
        <w:t>Discriminatory practices</w:t>
      </w:r>
      <w:r w:rsidRPr="0035771E">
        <w:rPr>
          <w:rFonts w:eastAsia="SimSun"/>
          <w:b w:val="0"/>
          <w:sz w:val="18"/>
          <w:szCs w:val="18"/>
          <w:vertAlign w:val="superscript"/>
          <w:lang w:eastAsia="zh-CN"/>
        </w:rPr>
        <w:footnoteReference w:id="83"/>
      </w:r>
    </w:p>
    <w:p w:rsidR="00E759E1" w:rsidRPr="00E90A18" w:rsidRDefault="00E759E1" w:rsidP="00023DDC">
      <w:pPr>
        <w:pStyle w:val="H23G"/>
        <w:spacing w:line="240" w:lineRule="atLeast"/>
        <w:rPr>
          <w:lang w:eastAsia="zh-CN"/>
        </w:rPr>
      </w:pPr>
      <w:r>
        <w:rPr>
          <w:lang w:eastAsia="zh-CN"/>
        </w:rPr>
        <w:tab/>
      </w:r>
      <w:r w:rsidRPr="00E90A18">
        <w:rPr>
          <w:lang w:eastAsia="zh-CN"/>
        </w:rPr>
        <w:t>1.</w:t>
      </w:r>
      <w:r w:rsidRPr="00E90A18">
        <w:rPr>
          <w:lang w:eastAsia="zh-CN"/>
        </w:rPr>
        <w:tab/>
        <w:t>Health</w:t>
      </w:r>
      <w:r>
        <w:rPr>
          <w:lang w:eastAsia="zh-CN"/>
        </w:rPr>
        <w:t xml:space="preserve"> </w:t>
      </w:r>
      <w:r w:rsidRPr="00E90A18">
        <w:rPr>
          <w:lang w:eastAsia="zh-CN"/>
        </w:rPr>
        <w:t>care</w:t>
      </w:r>
    </w:p>
    <w:p w:rsidR="00E759E1" w:rsidRPr="00B2489C" w:rsidRDefault="00E759E1" w:rsidP="00023DDC">
      <w:pPr>
        <w:pStyle w:val="SingleTxtG"/>
        <w:rPr>
          <w:lang w:eastAsia="zh-CN"/>
        </w:rPr>
      </w:pPr>
      <w:r w:rsidRPr="00B2489C">
        <w:rPr>
          <w:lang w:eastAsia="zh-CN"/>
        </w:rPr>
        <w:t>50.</w:t>
      </w:r>
      <w:r w:rsidRPr="00B2489C">
        <w:rPr>
          <w:lang w:eastAsia="zh-CN"/>
        </w:rPr>
        <w:tab/>
        <w:t xml:space="preserve">Laws criminalizing homosexuality </w:t>
      </w:r>
      <w:r>
        <w:rPr>
          <w:lang w:eastAsia="zh-CN"/>
        </w:rPr>
        <w:t>and</w:t>
      </w:r>
      <w:r w:rsidRPr="00B2489C">
        <w:rPr>
          <w:lang w:eastAsia="zh-CN"/>
        </w:rPr>
        <w:t xml:space="preserve"> </w:t>
      </w:r>
      <w:r w:rsidR="000673F5">
        <w:rPr>
          <w:lang w:eastAsia="zh-CN"/>
        </w:rPr>
        <w:t xml:space="preserve">the </w:t>
      </w:r>
      <w:r w:rsidRPr="00B2489C">
        <w:rPr>
          <w:color w:val="000000"/>
          <w:lang w:eastAsia="zh-CN"/>
        </w:rPr>
        <w:t>discriminatory</w:t>
      </w:r>
      <w:r w:rsidRPr="00B2489C">
        <w:rPr>
          <w:lang w:eastAsia="zh-CN"/>
        </w:rPr>
        <w:t xml:space="preserve"> policies, practices and attitudes of health</w:t>
      </w:r>
      <w:r>
        <w:rPr>
          <w:lang w:eastAsia="zh-CN"/>
        </w:rPr>
        <w:t>-</w:t>
      </w:r>
      <w:r w:rsidRPr="00B2489C">
        <w:rPr>
          <w:lang w:eastAsia="zh-CN"/>
        </w:rPr>
        <w:t>care institutions and personnel</w:t>
      </w:r>
      <w:r w:rsidRPr="00B2489C">
        <w:rPr>
          <w:color w:val="000000"/>
          <w:lang w:eastAsia="zh-CN"/>
        </w:rPr>
        <w:t xml:space="preserve"> adversely affect the quality of health services,</w:t>
      </w:r>
      <w:r w:rsidRPr="0035771E">
        <w:rPr>
          <w:rFonts w:eastAsia="SimSun"/>
          <w:color w:val="000000"/>
          <w:sz w:val="18"/>
          <w:szCs w:val="18"/>
          <w:vertAlign w:val="superscript"/>
          <w:lang w:eastAsia="zh-CN"/>
        </w:rPr>
        <w:footnoteReference w:id="84"/>
      </w:r>
      <w:r w:rsidRPr="00B2489C">
        <w:rPr>
          <w:color w:val="000000"/>
          <w:lang w:eastAsia="zh-CN"/>
        </w:rPr>
        <w:t xml:space="preserve"> </w:t>
      </w:r>
      <w:r w:rsidRPr="00B2489C">
        <w:rPr>
          <w:lang w:eastAsia="zh-CN"/>
        </w:rPr>
        <w:t>deter individuals from seeking services,</w:t>
      </w:r>
      <w:r w:rsidRPr="0035771E">
        <w:rPr>
          <w:rFonts w:eastAsia="SimSun"/>
          <w:sz w:val="18"/>
          <w:szCs w:val="18"/>
          <w:vertAlign w:val="superscript"/>
          <w:lang w:eastAsia="zh-CN"/>
        </w:rPr>
        <w:footnoteReference w:id="85"/>
      </w:r>
      <w:r w:rsidRPr="00B2489C">
        <w:rPr>
          <w:lang w:eastAsia="zh-CN"/>
        </w:rPr>
        <w:t xml:space="preserve"> and may lead to </w:t>
      </w:r>
      <w:r>
        <w:rPr>
          <w:lang w:eastAsia="zh-CN"/>
        </w:rPr>
        <w:t xml:space="preserve">the </w:t>
      </w:r>
      <w:r w:rsidRPr="00B2489C">
        <w:rPr>
          <w:lang w:eastAsia="zh-CN"/>
        </w:rPr>
        <w:t xml:space="preserve">denial of care or to an absence of services that respond to the specific health needs of LGBT and intersex </w:t>
      </w:r>
      <w:r>
        <w:rPr>
          <w:lang w:eastAsia="zh-CN"/>
        </w:rPr>
        <w:t>persons</w:t>
      </w:r>
      <w:r w:rsidRPr="00B2489C">
        <w:rPr>
          <w:lang w:eastAsia="zh-CN"/>
        </w:rPr>
        <w:t>.</w:t>
      </w:r>
      <w:r w:rsidRPr="0035771E">
        <w:rPr>
          <w:sz w:val="18"/>
          <w:vertAlign w:val="superscript"/>
          <w:lang w:eastAsia="zh-CN"/>
        </w:rPr>
        <w:footnoteReference w:id="86"/>
      </w:r>
      <w:r w:rsidRPr="00B2489C" w:rsidDel="00571FF5">
        <w:rPr>
          <w:lang w:eastAsia="zh-CN"/>
        </w:rPr>
        <w:t xml:space="preserve"> </w:t>
      </w:r>
    </w:p>
    <w:p w:rsidR="00E759E1" w:rsidRPr="00B2489C" w:rsidRDefault="00E759E1" w:rsidP="00023DDC">
      <w:pPr>
        <w:pStyle w:val="SingleTxtG"/>
        <w:rPr>
          <w:lang w:eastAsia="zh-CN"/>
        </w:rPr>
      </w:pPr>
      <w:r w:rsidRPr="00B2489C">
        <w:rPr>
          <w:lang w:eastAsia="zh-CN"/>
        </w:rPr>
        <w:t>51.</w:t>
      </w:r>
      <w:r w:rsidRPr="00B2489C">
        <w:rPr>
          <w:lang w:eastAsia="zh-CN"/>
        </w:rPr>
        <w:tab/>
        <w:t>The negative health impact of laws criminalizing homosexuality has been widely acknowledged, including by the World Health Organization</w:t>
      </w:r>
      <w:r>
        <w:rPr>
          <w:lang w:eastAsia="zh-CN"/>
        </w:rPr>
        <w:t xml:space="preserve"> (WHO)</w:t>
      </w:r>
      <w:r w:rsidRPr="00B2489C">
        <w:rPr>
          <w:lang w:eastAsia="zh-CN"/>
        </w:rPr>
        <w:t>, the U</w:t>
      </w:r>
      <w:r>
        <w:rPr>
          <w:lang w:eastAsia="zh-CN"/>
        </w:rPr>
        <w:t xml:space="preserve">nited </w:t>
      </w:r>
      <w:r w:rsidRPr="00B2489C">
        <w:rPr>
          <w:lang w:eastAsia="zh-CN"/>
        </w:rPr>
        <w:t>N</w:t>
      </w:r>
      <w:r>
        <w:rPr>
          <w:lang w:eastAsia="zh-CN"/>
        </w:rPr>
        <w:t>ations</w:t>
      </w:r>
      <w:r w:rsidRPr="00B2489C">
        <w:rPr>
          <w:lang w:eastAsia="zh-CN"/>
        </w:rPr>
        <w:t xml:space="preserve"> Development Programme</w:t>
      </w:r>
      <w:r>
        <w:rPr>
          <w:lang w:eastAsia="zh-CN"/>
        </w:rPr>
        <w:t xml:space="preserve"> (UNDP)</w:t>
      </w:r>
      <w:r w:rsidRPr="00B2489C">
        <w:rPr>
          <w:lang w:eastAsia="zh-CN"/>
        </w:rPr>
        <w:t xml:space="preserve">, </w:t>
      </w:r>
      <w:r>
        <w:rPr>
          <w:lang w:eastAsia="zh-CN"/>
        </w:rPr>
        <w:t>the Joint United Nations Programme on HIV/AIDS (</w:t>
      </w:r>
      <w:r w:rsidRPr="00B2489C">
        <w:rPr>
          <w:lang w:eastAsia="zh-CN"/>
        </w:rPr>
        <w:t>UNAIDS</w:t>
      </w:r>
      <w:r>
        <w:rPr>
          <w:lang w:eastAsia="zh-CN"/>
        </w:rPr>
        <w:t>)</w:t>
      </w:r>
      <w:r w:rsidRPr="00B2489C">
        <w:rPr>
          <w:lang w:eastAsia="zh-CN"/>
        </w:rPr>
        <w:t xml:space="preserve">, </w:t>
      </w:r>
      <w:r>
        <w:rPr>
          <w:lang w:eastAsia="zh-CN"/>
        </w:rPr>
        <w:t xml:space="preserve">the </w:t>
      </w:r>
      <w:r w:rsidRPr="00B2489C">
        <w:rPr>
          <w:lang w:eastAsia="zh-CN"/>
        </w:rPr>
        <w:t xml:space="preserve">treaty bodies and </w:t>
      </w:r>
      <w:r>
        <w:rPr>
          <w:lang w:eastAsia="zh-CN"/>
        </w:rPr>
        <w:t xml:space="preserve">the </w:t>
      </w:r>
      <w:r w:rsidRPr="00B2489C">
        <w:rPr>
          <w:lang w:eastAsia="zh-CN"/>
        </w:rPr>
        <w:t>special procedures</w:t>
      </w:r>
      <w:r>
        <w:rPr>
          <w:lang w:eastAsia="zh-CN"/>
        </w:rPr>
        <w:t xml:space="preserve"> of the Human Rights Council</w:t>
      </w:r>
      <w:r w:rsidRPr="00B2489C">
        <w:rPr>
          <w:lang w:eastAsia="zh-CN"/>
        </w:rPr>
        <w:t>.</w:t>
      </w:r>
      <w:r w:rsidRPr="0035771E">
        <w:rPr>
          <w:rFonts w:eastAsia="SimSun"/>
          <w:sz w:val="18"/>
          <w:szCs w:val="18"/>
          <w:vertAlign w:val="superscript"/>
          <w:lang w:eastAsia="zh-CN"/>
        </w:rPr>
        <w:footnoteReference w:id="87"/>
      </w:r>
      <w:r w:rsidRPr="00B2489C">
        <w:rPr>
          <w:lang w:eastAsia="zh-CN"/>
        </w:rPr>
        <w:t xml:space="preserve"> The Global Commission on HIV and the Law found, </w:t>
      </w:r>
      <w:r w:rsidRPr="00B2489C">
        <w:rPr>
          <w:szCs w:val="24"/>
          <w:lang w:eastAsia="zh-CN"/>
        </w:rPr>
        <w:t xml:space="preserve">for instance, that </w:t>
      </w:r>
      <w:r w:rsidRPr="00B2489C">
        <w:rPr>
          <w:rFonts w:eastAsia="SimSun"/>
          <w:szCs w:val="24"/>
          <w:lang w:eastAsia="zh-CN"/>
        </w:rPr>
        <w:t>in Caribbean countries with laws that criminalize homosexuality, almost one in four men who have sex with men is HIV positive; the equivalent figure in Caribbean countries with no such laws is one in 15.</w:t>
      </w:r>
      <w:r w:rsidRPr="0035771E">
        <w:rPr>
          <w:rFonts w:eastAsia="SimSun"/>
          <w:sz w:val="18"/>
          <w:szCs w:val="24"/>
          <w:vertAlign w:val="superscript"/>
          <w:lang w:eastAsia="zh-CN"/>
        </w:rPr>
        <w:footnoteReference w:id="88"/>
      </w:r>
      <w:r w:rsidRPr="00B2489C">
        <w:rPr>
          <w:rFonts w:eastAsia="SimSun"/>
          <w:szCs w:val="24"/>
          <w:lang w:eastAsia="zh-CN"/>
        </w:rPr>
        <w:t xml:space="preserve"> </w:t>
      </w:r>
    </w:p>
    <w:p w:rsidR="00E759E1" w:rsidRPr="00B2489C" w:rsidRDefault="00E759E1" w:rsidP="00023DDC">
      <w:pPr>
        <w:pStyle w:val="SingleTxtG"/>
        <w:rPr>
          <w:rFonts w:eastAsia="SimSun"/>
          <w:szCs w:val="24"/>
          <w:lang w:eastAsia="zh-CN"/>
        </w:rPr>
      </w:pPr>
      <w:r w:rsidRPr="00B2489C">
        <w:rPr>
          <w:rFonts w:eastAsia="SimSun"/>
          <w:szCs w:val="18"/>
          <w:lang w:eastAsia="zh-CN"/>
        </w:rPr>
        <w:t>52.</w:t>
      </w:r>
      <w:r w:rsidRPr="00B2489C">
        <w:rPr>
          <w:rFonts w:eastAsia="SimSun"/>
          <w:szCs w:val="18"/>
          <w:lang w:eastAsia="zh-CN"/>
        </w:rPr>
        <w:tab/>
      </w:r>
      <w:r w:rsidRPr="00B2489C">
        <w:rPr>
          <w:lang w:eastAsia="zh-CN"/>
        </w:rPr>
        <w:t>There is mounting concern about so-called “conversion therapies” intended to “cure” homosexual attraction. Such therapies have been found to be unethical, unscientific and ineffective and, in some instances, tantamount to torture – leading to successful legal challenges and bans in several countries.</w:t>
      </w:r>
      <w:r w:rsidRPr="0035771E">
        <w:rPr>
          <w:rFonts w:eastAsia="SimSun"/>
          <w:sz w:val="18"/>
          <w:szCs w:val="24"/>
          <w:vertAlign w:val="superscript"/>
          <w:lang w:eastAsia="zh-CN"/>
        </w:rPr>
        <w:footnoteReference w:id="89"/>
      </w:r>
      <w:r w:rsidRPr="00B2489C">
        <w:rPr>
          <w:lang w:eastAsia="zh-CN"/>
        </w:rPr>
        <w:t xml:space="preserve"> In Ecuador, c</w:t>
      </w:r>
      <w:r w:rsidRPr="00B2489C">
        <w:rPr>
          <w:rFonts w:eastAsia="SimSun"/>
          <w:szCs w:val="24"/>
          <w:lang w:eastAsia="zh-CN"/>
        </w:rPr>
        <w:t xml:space="preserve">oncerns have been raised about </w:t>
      </w:r>
      <w:r w:rsidRPr="00B2489C">
        <w:rPr>
          <w:rFonts w:eastAsia="SimSun"/>
          <w:szCs w:val="24"/>
          <w:lang w:eastAsia="zh-CN"/>
        </w:rPr>
        <w:lastRenderedPageBreak/>
        <w:t xml:space="preserve">“rehabilitation clinics” where lesbians and transgender youths have been forcibly detained with </w:t>
      </w:r>
      <w:r>
        <w:rPr>
          <w:rFonts w:eastAsia="SimSun"/>
          <w:szCs w:val="24"/>
          <w:lang w:eastAsia="zh-CN"/>
        </w:rPr>
        <w:t xml:space="preserve">the </w:t>
      </w:r>
      <w:r w:rsidRPr="00B2489C">
        <w:rPr>
          <w:rFonts w:eastAsia="SimSun"/>
          <w:szCs w:val="24"/>
          <w:lang w:eastAsia="zh-CN"/>
        </w:rPr>
        <w:t>collusion of family members and subjected to torture, including sexual abuse.</w:t>
      </w:r>
      <w:r w:rsidRPr="0035771E">
        <w:rPr>
          <w:rFonts w:eastAsia="SimSun"/>
          <w:sz w:val="18"/>
          <w:szCs w:val="18"/>
          <w:vertAlign w:val="superscript"/>
          <w:lang w:eastAsia="zh-CN"/>
        </w:rPr>
        <w:footnoteReference w:id="90"/>
      </w:r>
      <w:r w:rsidRPr="00B2489C">
        <w:rPr>
          <w:rFonts w:eastAsia="SimSun"/>
          <w:szCs w:val="24"/>
          <w:lang w:eastAsia="zh-CN"/>
        </w:rPr>
        <w:t xml:space="preserve"> </w:t>
      </w:r>
    </w:p>
    <w:p w:rsidR="00E759E1" w:rsidRPr="00B2489C" w:rsidRDefault="00E759E1" w:rsidP="00023DDC">
      <w:pPr>
        <w:pStyle w:val="SingleTxtG"/>
        <w:rPr>
          <w:color w:val="000000"/>
          <w:lang w:eastAsia="zh-CN"/>
        </w:rPr>
      </w:pPr>
      <w:r w:rsidRPr="00B2489C">
        <w:rPr>
          <w:lang w:eastAsia="zh-CN"/>
        </w:rPr>
        <w:t>53.</w:t>
      </w:r>
      <w:r w:rsidRPr="00B2489C">
        <w:rPr>
          <w:lang w:eastAsia="zh-CN"/>
        </w:rPr>
        <w:tab/>
        <w:t>Many intersex children, born with atypical sex characteristics, are subjected to medically unnecessary surgery and treatment in an attempt to force their physical appearance to align with binary sex stereotypes. Such procedures are typically irreversible and can cause severe, long-ter</w:t>
      </w:r>
      <w:r>
        <w:rPr>
          <w:lang w:eastAsia="zh-CN"/>
        </w:rPr>
        <w:t>m</w:t>
      </w:r>
      <w:r w:rsidRPr="00B2489C">
        <w:rPr>
          <w:lang w:eastAsia="zh-CN"/>
        </w:rPr>
        <w:t xml:space="preserve"> physical and psychological suffering. </w:t>
      </w:r>
      <w:r>
        <w:rPr>
          <w:lang w:eastAsia="zh-CN"/>
        </w:rPr>
        <w:t>T</w:t>
      </w:r>
      <w:r w:rsidRPr="00B2489C">
        <w:rPr>
          <w:lang w:eastAsia="zh-CN"/>
        </w:rPr>
        <w:t xml:space="preserve">hose to have called for an end to the practice </w:t>
      </w:r>
      <w:r>
        <w:rPr>
          <w:lang w:eastAsia="zh-CN"/>
        </w:rPr>
        <w:t>include</w:t>
      </w:r>
      <w:r w:rsidRPr="00B2489C">
        <w:rPr>
          <w:lang w:eastAsia="zh-CN"/>
        </w:rPr>
        <w:t xml:space="preserve"> the Committee on the Rights of the Child, the Committee against Torture</w:t>
      </w:r>
      <w:r>
        <w:rPr>
          <w:lang w:eastAsia="zh-CN"/>
        </w:rPr>
        <w:t>,</w:t>
      </w:r>
      <w:r w:rsidRPr="00B2489C">
        <w:rPr>
          <w:lang w:eastAsia="zh-CN"/>
        </w:rPr>
        <w:t xml:space="preserve"> the </w:t>
      </w:r>
      <w:r w:rsidR="00884C01">
        <w:rPr>
          <w:lang w:eastAsia="zh-CN"/>
        </w:rPr>
        <w:t>s</w:t>
      </w:r>
      <w:r w:rsidRPr="00B2489C">
        <w:rPr>
          <w:lang w:eastAsia="zh-CN"/>
        </w:rPr>
        <w:t xml:space="preserve">pecial </w:t>
      </w:r>
      <w:r w:rsidR="00884C01">
        <w:rPr>
          <w:lang w:eastAsia="zh-CN"/>
        </w:rPr>
        <w:t xml:space="preserve">procedures mandate holders </w:t>
      </w:r>
      <w:r w:rsidRPr="00B2489C">
        <w:rPr>
          <w:lang w:eastAsia="zh-CN"/>
        </w:rPr>
        <w:t xml:space="preserve">on </w:t>
      </w:r>
      <w:r>
        <w:rPr>
          <w:lang w:eastAsia="zh-CN"/>
        </w:rPr>
        <w:t xml:space="preserve">the right </w:t>
      </w:r>
      <w:r w:rsidR="00884C01">
        <w:rPr>
          <w:lang w:eastAsia="zh-CN"/>
        </w:rPr>
        <w:t xml:space="preserve">to </w:t>
      </w:r>
      <w:r w:rsidRPr="00B2489C">
        <w:rPr>
          <w:lang w:eastAsia="zh-CN"/>
        </w:rPr>
        <w:t xml:space="preserve">health and </w:t>
      </w:r>
      <w:r>
        <w:rPr>
          <w:lang w:eastAsia="zh-CN"/>
        </w:rPr>
        <w:t xml:space="preserve">on </w:t>
      </w:r>
      <w:r w:rsidRPr="00B2489C">
        <w:rPr>
          <w:lang w:eastAsia="zh-CN"/>
        </w:rPr>
        <w:t>torture.</w:t>
      </w:r>
      <w:r w:rsidRPr="0035771E">
        <w:rPr>
          <w:rFonts w:eastAsia="SimSun"/>
          <w:color w:val="000000"/>
          <w:sz w:val="18"/>
          <w:szCs w:val="18"/>
          <w:vertAlign w:val="superscript"/>
          <w:lang w:eastAsia="zh-CN"/>
        </w:rPr>
        <w:footnoteReference w:id="91"/>
      </w:r>
      <w:r w:rsidRPr="00B2489C">
        <w:rPr>
          <w:color w:val="000000"/>
          <w:lang w:eastAsia="zh-CN"/>
        </w:rPr>
        <w:t xml:space="preserve"> </w:t>
      </w:r>
    </w:p>
    <w:p w:rsidR="00E759E1" w:rsidRPr="00B2489C" w:rsidRDefault="00E759E1" w:rsidP="00023DDC">
      <w:pPr>
        <w:pStyle w:val="SingleTxtG"/>
        <w:rPr>
          <w:lang w:eastAsia="zh-CN"/>
        </w:rPr>
      </w:pPr>
      <w:r w:rsidRPr="00B2489C">
        <w:rPr>
          <w:lang w:eastAsia="zh-CN"/>
        </w:rPr>
        <w:t>54.</w:t>
      </w:r>
      <w:r w:rsidRPr="00B2489C">
        <w:rPr>
          <w:lang w:eastAsia="zh-CN"/>
        </w:rPr>
        <w:tab/>
        <w:t xml:space="preserve">Transgender persons often face particular difficulties in </w:t>
      </w:r>
      <w:r>
        <w:rPr>
          <w:lang w:eastAsia="zh-CN"/>
        </w:rPr>
        <w:t xml:space="preserve">their </w:t>
      </w:r>
      <w:r w:rsidRPr="00B2489C">
        <w:rPr>
          <w:lang w:eastAsia="zh-CN"/>
        </w:rPr>
        <w:t>access</w:t>
      </w:r>
      <w:r>
        <w:rPr>
          <w:lang w:eastAsia="zh-CN"/>
        </w:rPr>
        <w:t xml:space="preserve"> to </w:t>
      </w:r>
      <w:r w:rsidRPr="00B2489C">
        <w:rPr>
          <w:lang w:eastAsia="zh-CN"/>
        </w:rPr>
        <w:t>appropriate health care. Health</w:t>
      </w:r>
      <w:r>
        <w:rPr>
          <w:lang w:eastAsia="zh-CN"/>
        </w:rPr>
        <w:t>-</w:t>
      </w:r>
      <w:r w:rsidRPr="00B2489C">
        <w:rPr>
          <w:lang w:eastAsia="zh-CN"/>
        </w:rPr>
        <w:t>care professionals may be insensitive to their needs, lack relevant knowledge and treat transgender persons in a discriminatory manner. Gender reassignment therapy, where available, is often prohibitively expensive. In certain situations, it is coerced.</w:t>
      </w:r>
      <w:r w:rsidRPr="0035771E">
        <w:rPr>
          <w:rFonts w:eastAsia="SimSun"/>
          <w:sz w:val="18"/>
          <w:vertAlign w:val="superscript"/>
          <w:lang w:eastAsia="zh-CN"/>
        </w:rPr>
        <w:footnoteReference w:id="92"/>
      </w:r>
      <w:r w:rsidRPr="00B2489C">
        <w:rPr>
          <w:lang w:eastAsia="zh-CN"/>
        </w:rPr>
        <w:t xml:space="preserve"> </w:t>
      </w:r>
    </w:p>
    <w:p w:rsidR="00E759E1" w:rsidRPr="00E90A18" w:rsidRDefault="00E759E1" w:rsidP="00023DDC">
      <w:pPr>
        <w:pStyle w:val="H23G"/>
        <w:spacing w:line="240" w:lineRule="atLeast"/>
        <w:rPr>
          <w:lang w:eastAsia="zh-CN"/>
        </w:rPr>
      </w:pPr>
      <w:r>
        <w:rPr>
          <w:lang w:eastAsia="zh-CN"/>
        </w:rPr>
        <w:tab/>
      </w:r>
      <w:r w:rsidRPr="00E90A18">
        <w:rPr>
          <w:lang w:eastAsia="zh-CN"/>
        </w:rPr>
        <w:t>2.</w:t>
      </w:r>
      <w:r w:rsidRPr="00E90A18">
        <w:rPr>
          <w:lang w:eastAsia="zh-CN"/>
        </w:rPr>
        <w:tab/>
        <w:t>Education</w:t>
      </w:r>
    </w:p>
    <w:p w:rsidR="00E759E1" w:rsidRPr="00B2489C" w:rsidRDefault="00E759E1" w:rsidP="00023DDC">
      <w:pPr>
        <w:pStyle w:val="SingleTxtG"/>
        <w:rPr>
          <w:lang w:eastAsia="zh-CN"/>
        </w:rPr>
      </w:pPr>
      <w:r w:rsidRPr="00B2489C">
        <w:rPr>
          <w:lang w:eastAsia="zh-CN"/>
        </w:rPr>
        <w:t>55.</w:t>
      </w:r>
      <w:r w:rsidRPr="00B2489C">
        <w:rPr>
          <w:lang w:eastAsia="zh-CN"/>
        </w:rPr>
        <w:tab/>
        <w:t>Many children and adolescents perceived as LGBT or gender non-conforming experience discrimination, harassment and, in some cases, violent abuse both in and outside of school.</w:t>
      </w:r>
      <w:r w:rsidRPr="00B2489C">
        <w:rPr>
          <w:rFonts w:eastAsia="SimSun"/>
          <w:vertAlign w:val="superscript"/>
          <w:lang w:eastAsia="zh-CN"/>
        </w:rPr>
        <w:t xml:space="preserve"> </w:t>
      </w:r>
      <w:r w:rsidRPr="0035771E">
        <w:rPr>
          <w:rFonts w:eastAsia="SimSun"/>
          <w:sz w:val="18"/>
          <w:szCs w:val="18"/>
          <w:vertAlign w:val="superscript"/>
          <w:lang w:eastAsia="zh-CN"/>
        </w:rPr>
        <w:footnoteReference w:id="93"/>
      </w:r>
      <w:r w:rsidRPr="00B2489C">
        <w:rPr>
          <w:lang w:eastAsia="zh-CN"/>
        </w:rPr>
        <w:t xml:space="preserve"> Such abuse can force students to skip or drop out of school, and can lead to feelings of isolation and depression, even suicide.</w:t>
      </w:r>
    </w:p>
    <w:p w:rsidR="00E759E1" w:rsidRPr="00B2489C" w:rsidRDefault="00E759E1" w:rsidP="00023DDC">
      <w:pPr>
        <w:pStyle w:val="SingleTxtG"/>
        <w:rPr>
          <w:lang w:eastAsia="zh-CN"/>
        </w:rPr>
      </w:pPr>
      <w:r w:rsidRPr="00B2489C">
        <w:rPr>
          <w:lang w:eastAsia="zh-CN"/>
        </w:rPr>
        <w:t>56.</w:t>
      </w:r>
      <w:r w:rsidRPr="00B2489C">
        <w:rPr>
          <w:lang w:eastAsia="zh-CN"/>
        </w:rPr>
        <w:tab/>
        <w:t>High levels of bullying have been recorded in all regions. A European Union study found that 80 per</w:t>
      </w:r>
      <w:r>
        <w:rPr>
          <w:lang w:eastAsia="zh-CN"/>
        </w:rPr>
        <w:t xml:space="preserve"> </w:t>
      </w:r>
      <w:r w:rsidRPr="00B2489C">
        <w:rPr>
          <w:lang w:eastAsia="zh-CN"/>
        </w:rPr>
        <w:t>cent of school-age children surveyed heard negative comments or saw negative conduct directed at schoolmates perceived as lesbian, gay, bisexual or transgender.</w:t>
      </w:r>
      <w:r w:rsidRPr="0035771E">
        <w:rPr>
          <w:rFonts w:eastAsia="SimSun"/>
          <w:sz w:val="18"/>
          <w:vertAlign w:val="superscript"/>
          <w:lang w:eastAsia="zh-CN"/>
        </w:rPr>
        <w:footnoteReference w:id="94"/>
      </w:r>
      <w:r w:rsidRPr="00B2489C">
        <w:rPr>
          <w:lang w:eastAsia="zh-CN"/>
        </w:rPr>
        <w:t xml:space="preserve"> A survey </w:t>
      </w:r>
      <w:r>
        <w:rPr>
          <w:lang w:eastAsia="zh-CN"/>
        </w:rPr>
        <w:t xml:space="preserve">conducted by the United Nations Educational, Scientific and Cultural Organization (UNESCO) </w:t>
      </w:r>
      <w:r w:rsidRPr="00B2489C">
        <w:rPr>
          <w:lang w:eastAsia="zh-CN"/>
        </w:rPr>
        <w:t xml:space="preserve">of students in Thailand found that more than half of LGBT respondents had been bullied in the previous month, and </w:t>
      </w:r>
      <w:r>
        <w:rPr>
          <w:lang w:eastAsia="zh-CN"/>
        </w:rPr>
        <w:t>more than</w:t>
      </w:r>
      <w:r w:rsidRPr="00B2489C">
        <w:rPr>
          <w:lang w:eastAsia="zh-CN"/>
        </w:rPr>
        <w:t xml:space="preserve"> 30 per</w:t>
      </w:r>
      <w:r>
        <w:rPr>
          <w:lang w:eastAsia="zh-CN"/>
        </w:rPr>
        <w:t xml:space="preserve"> </w:t>
      </w:r>
      <w:r w:rsidRPr="00B2489C">
        <w:rPr>
          <w:lang w:eastAsia="zh-CN"/>
        </w:rPr>
        <w:t>cent had experienced physical abuse.</w:t>
      </w:r>
      <w:r w:rsidRPr="0035771E">
        <w:rPr>
          <w:rFonts w:eastAsia="SimSun"/>
          <w:sz w:val="18"/>
          <w:vertAlign w:val="superscript"/>
          <w:lang w:eastAsia="zh-CN"/>
        </w:rPr>
        <w:footnoteReference w:id="95"/>
      </w:r>
      <w:r w:rsidRPr="0035771E">
        <w:rPr>
          <w:sz w:val="18"/>
          <w:lang w:eastAsia="zh-CN"/>
        </w:rPr>
        <w:t xml:space="preserve"> </w:t>
      </w:r>
      <w:r w:rsidRPr="00B2489C">
        <w:rPr>
          <w:rFonts w:eastAsia="SimSun"/>
          <w:lang w:eastAsia="zh-CN"/>
        </w:rPr>
        <w:t>These findings mirror those of studies conducted in other countries.</w:t>
      </w:r>
    </w:p>
    <w:p w:rsidR="00E759E1" w:rsidRPr="00B2489C" w:rsidRDefault="00E759E1" w:rsidP="00023DDC">
      <w:pPr>
        <w:pStyle w:val="SingleTxtG"/>
        <w:rPr>
          <w:rFonts w:eastAsia="SimSun"/>
          <w:lang w:eastAsia="zh-CN"/>
        </w:rPr>
      </w:pPr>
      <w:r w:rsidRPr="00B2489C">
        <w:rPr>
          <w:lang w:eastAsia="zh-CN"/>
        </w:rPr>
        <w:t>57.</w:t>
      </w:r>
      <w:r w:rsidRPr="00B2489C">
        <w:rPr>
          <w:lang w:eastAsia="zh-CN"/>
        </w:rPr>
        <w:tab/>
        <w:t xml:space="preserve">Limiting or obstructing information related to sexuality or using materials that contain stereotypes and prejudices can contribute to violence and expose </w:t>
      </w:r>
      <w:r>
        <w:rPr>
          <w:lang w:eastAsia="zh-CN"/>
        </w:rPr>
        <w:t xml:space="preserve">young </w:t>
      </w:r>
      <w:r w:rsidRPr="00B2489C">
        <w:rPr>
          <w:lang w:eastAsia="zh-CN"/>
        </w:rPr>
        <w:t xml:space="preserve">LGBT </w:t>
      </w:r>
      <w:r>
        <w:rPr>
          <w:lang w:eastAsia="zh-CN"/>
        </w:rPr>
        <w:t>persons</w:t>
      </w:r>
      <w:r w:rsidRPr="00B2489C">
        <w:rPr>
          <w:lang w:eastAsia="zh-CN"/>
        </w:rPr>
        <w:t xml:space="preserve"> to health risks.</w:t>
      </w:r>
      <w:r w:rsidRPr="0035771E">
        <w:rPr>
          <w:rFonts w:eastAsia="SimSun"/>
          <w:sz w:val="18"/>
          <w:vertAlign w:val="superscript"/>
          <w:lang w:eastAsia="zh-CN"/>
        </w:rPr>
        <w:footnoteReference w:id="96"/>
      </w:r>
      <w:r w:rsidRPr="00B2489C">
        <w:rPr>
          <w:color w:val="000000"/>
          <w:szCs w:val="18"/>
          <w:lang w:eastAsia="zh-CN"/>
        </w:rPr>
        <w:t xml:space="preserve"> </w:t>
      </w:r>
      <w:r w:rsidRPr="00B2489C">
        <w:rPr>
          <w:color w:val="000000"/>
          <w:szCs w:val="24"/>
          <w:lang w:eastAsia="zh-CN"/>
        </w:rPr>
        <w:t xml:space="preserve">Comprehensive sexuality education is part of the right to education and can be a tool for </w:t>
      </w:r>
      <w:r w:rsidRPr="00B2489C">
        <w:rPr>
          <w:color w:val="000000"/>
          <w:lang w:eastAsia="zh-CN"/>
        </w:rPr>
        <w:t>combating</w:t>
      </w:r>
      <w:r w:rsidRPr="00B2489C">
        <w:rPr>
          <w:color w:val="000000"/>
          <w:szCs w:val="24"/>
          <w:lang w:eastAsia="zh-CN"/>
        </w:rPr>
        <w:t xml:space="preserve"> discrimination.</w:t>
      </w:r>
    </w:p>
    <w:p w:rsidR="00E759E1" w:rsidRPr="00E90A18" w:rsidRDefault="00E759E1" w:rsidP="00023DDC">
      <w:pPr>
        <w:pStyle w:val="H23G"/>
        <w:spacing w:line="240" w:lineRule="atLeast"/>
        <w:rPr>
          <w:lang w:eastAsia="zh-CN"/>
        </w:rPr>
      </w:pPr>
      <w:r>
        <w:rPr>
          <w:lang w:eastAsia="zh-CN"/>
        </w:rPr>
        <w:tab/>
      </w:r>
      <w:r w:rsidRPr="00E90A18">
        <w:rPr>
          <w:lang w:eastAsia="zh-CN"/>
        </w:rPr>
        <w:t>3.</w:t>
      </w:r>
      <w:r w:rsidRPr="00E90A18">
        <w:rPr>
          <w:lang w:eastAsia="zh-CN"/>
        </w:rPr>
        <w:tab/>
        <w:t>Employment</w:t>
      </w:r>
    </w:p>
    <w:p w:rsidR="00E759E1" w:rsidRPr="00B2489C" w:rsidRDefault="00E759E1" w:rsidP="00023DDC">
      <w:pPr>
        <w:pStyle w:val="SingleTxtG"/>
        <w:rPr>
          <w:lang w:eastAsia="zh-CN"/>
        </w:rPr>
      </w:pPr>
      <w:r w:rsidRPr="00B2489C">
        <w:rPr>
          <w:lang w:eastAsia="zh-CN"/>
        </w:rPr>
        <w:t>58.</w:t>
      </w:r>
      <w:r w:rsidRPr="00B2489C">
        <w:rPr>
          <w:lang w:eastAsia="zh-CN"/>
        </w:rPr>
        <w:tab/>
        <w:t xml:space="preserve">In most </w:t>
      </w:r>
      <w:r>
        <w:rPr>
          <w:lang w:eastAsia="zh-CN"/>
        </w:rPr>
        <w:t>States</w:t>
      </w:r>
      <w:r w:rsidRPr="00B2489C">
        <w:rPr>
          <w:lang w:eastAsia="zh-CN"/>
        </w:rPr>
        <w:t>, national laws do not provide adequate protection from employment-related discrimination on grounds of sexual orientation and gender identity.</w:t>
      </w:r>
      <w:r w:rsidRPr="0035771E">
        <w:rPr>
          <w:rFonts w:eastAsia="SimSun"/>
          <w:sz w:val="18"/>
          <w:szCs w:val="18"/>
          <w:vertAlign w:val="superscript"/>
          <w:lang w:eastAsia="zh-CN"/>
        </w:rPr>
        <w:footnoteReference w:id="97"/>
      </w:r>
      <w:r w:rsidRPr="00B2489C">
        <w:rPr>
          <w:lang w:eastAsia="zh-CN"/>
        </w:rPr>
        <w:t xml:space="preserve"> In the absence </w:t>
      </w:r>
      <w:r w:rsidRPr="00B2489C">
        <w:rPr>
          <w:lang w:eastAsia="zh-CN"/>
        </w:rPr>
        <w:lastRenderedPageBreak/>
        <w:t>of such laws, employers may fire or refuse to hire or promote people simply because they are seen as lesbian, gay, bisexual or transgender.</w:t>
      </w:r>
      <w:r w:rsidRPr="0035771E">
        <w:rPr>
          <w:rFonts w:eastAsia="SimSun"/>
          <w:sz w:val="18"/>
          <w:szCs w:val="18"/>
          <w:vertAlign w:val="superscript"/>
          <w:lang w:eastAsia="zh-CN"/>
        </w:rPr>
        <w:footnoteReference w:id="98"/>
      </w:r>
      <w:r w:rsidRPr="0035771E">
        <w:rPr>
          <w:sz w:val="18"/>
          <w:szCs w:val="18"/>
          <w:lang w:eastAsia="zh-CN"/>
        </w:rPr>
        <w:t xml:space="preserve"> </w:t>
      </w:r>
      <w:r w:rsidRPr="00B2489C">
        <w:rPr>
          <w:lang w:eastAsia="zh-CN"/>
        </w:rPr>
        <w:t>Where laws do exist, they may be poorly applied. Workplace benefits available to heterosexual employees may be denied to their LGBT counterparts. Surveys indicate that discrimination and verbal and other forms of harassment in the workplace are commonplace.</w:t>
      </w:r>
      <w:r w:rsidRPr="0035771E">
        <w:rPr>
          <w:rFonts w:eastAsia="SimSun"/>
          <w:sz w:val="18"/>
          <w:szCs w:val="18"/>
          <w:vertAlign w:val="superscript"/>
          <w:lang w:eastAsia="zh-CN"/>
        </w:rPr>
        <w:footnoteReference w:id="99"/>
      </w:r>
    </w:p>
    <w:p w:rsidR="00E759E1" w:rsidRPr="00E90A18" w:rsidRDefault="00E759E1" w:rsidP="00023DDC">
      <w:pPr>
        <w:pStyle w:val="H23G"/>
        <w:spacing w:line="240" w:lineRule="atLeast"/>
        <w:rPr>
          <w:lang w:eastAsia="zh-CN"/>
        </w:rPr>
      </w:pPr>
      <w:r>
        <w:rPr>
          <w:lang w:eastAsia="zh-CN"/>
        </w:rPr>
        <w:tab/>
      </w:r>
      <w:r w:rsidRPr="00E90A18">
        <w:rPr>
          <w:lang w:eastAsia="zh-CN"/>
        </w:rPr>
        <w:t>4.</w:t>
      </w:r>
      <w:r w:rsidRPr="00E90A18">
        <w:rPr>
          <w:lang w:eastAsia="zh-CN"/>
        </w:rPr>
        <w:tab/>
        <w:t>Housing</w:t>
      </w:r>
    </w:p>
    <w:p w:rsidR="00E759E1" w:rsidRPr="00B2489C" w:rsidRDefault="00E759E1" w:rsidP="00023DDC">
      <w:pPr>
        <w:pStyle w:val="SingleTxtG"/>
        <w:rPr>
          <w:lang w:eastAsia="zh-CN"/>
        </w:rPr>
      </w:pPr>
      <w:r w:rsidRPr="00B2489C">
        <w:rPr>
          <w:lang w:eastAsia="zh-CN"/>
        </w:rPr>
        <w:t>59.</w:t>
      </w:r>
      <w:r w:rsidRPr="00B2489C">
        <w:rPr>
          <w:lang w:eastAsia="zh-CN"/>
        </w:rPr>
        <w:tab/>
        <w:t xml:space="preserve">LGBT </w:t>
      </w:r>
      <w:r>
        <w:rPr>
          <w:lang w:eastAsia="zh-CN"/>
        </w:rPr>
        <w:t>persons</w:t>
      </w:r>
      <w:r w:rsidRPr="00B2489C">
        <w:rPr>
          <w:lang w:eastAsia="zh-CN"/>
        </w:rPr>
        <w:t xml:space="preserve"> may experience discrimination in access to housing as a result of unfair treatment by public and private landlords. Concerns include LGBT individuals and same</w:t>
      </w:r>
      <w:r w:rsidR="00085D30">
        <w:rPr>
          <w:lang w:eastAsia="zh-CN"/>
        </w:rPr>
        <w:t>-</w:t>
      </w:r>
      <w:r w:rsidRPr="00B2489C">
        <w:rPr>
          <w:lang w:eastAsia="zh-CN"/>
        </w:rPr>
        <w:t>sex couples denied leases and evicted from public housing,</w:t>
      </w:r>
      <w:r w:rsidRPr="0035771E">
        <w:rPr>
          <w:rFonts w:eastAsia="SimSun"/>
          <w:sz w:val="18"/>
          <w:szCs w:val="18"/>
          <w:vertAlign w:val="superscript"/>
          <w:lang w:eastAsia="zh-CN"/>
        </w:rPr>
        <w:footnoteReference w:id="100"/>
      </w:r>
      <w:r w:rsidRPr="00B2489C">
        <w:rPr>
          <w:lang w:eastAsia="zh-CN"/>
        </w:rPr>
        <w:t xml:space="preserve"> harassed by neighbours and forced out of their homes.</w:t>
      </w:r>
      <w:r w:rsidRPr="0035771E">
        <w:rPr>
          <w:rFonts w:eastAsia="SimSun"/>
          <w:sz w:val="18"/>
          <w:szCs w:val="18"/>
          <w:vertAlign w:val="superscript"/>
          <w:lang w:eastAsia="zh-CN"/>
        </w:rPr>
        <w:footnoteReference w:id="101"/>
      </w:r>
      <w:r w:rsidRPr="00B2489C">
        <w:rPr>
          <w:lang w:eastAsia="zh-CN"/>
        </w:rPr>
        <w:t xml:space="preserve"> Many LGBT-identifying adolescents and young adults are thrown out of home by disapproving parents and end up on the streets, resulting in disproportionately high rates of homelessness among this group. A recent survey of 354 homeless support agencies in the United States suggested that some 40 per</w:t>
      </w:r>
      <w:r w:rsidR="00085D30">
        <w:rPr>
          <w:lang w:eastAsia="zh-CN"/>
        </w:rPr>
        <w:t xml:space="preserve"> </w:t>
      </w:r>
      <w:r w:rsidRPr="00B2489C">
        <w:rPr>
          <w:lang w:eastAsia="zh-CN"/>
        </w:rPr>
        <w:t>cent of homeless youth identify as LGBT, with family rejection the leading cause of homelessness among this group.</w:t>
      </w:r>
      <w:r w:rsidRPr="0035771E">
        <w:rPr>
          <w:sz w:val="18"/>
          <w:szCs w:val="18"/>
          <w:vertAlign w:val="superscript"/>
          <w:lang w:eastAsia="zh-CN"/>
        </w:rPr>
        <w:footnoteReference w:id="102"/>
      </w:r>
      <w:r w:rsidRPr="00B2489C">
        <w:rPr>
          <w:rFonts w:eastAsia="SimSun"/>
          <w:szCs w:val="16"/>
          <w:lang w:eastAsia="zh-CN"/>
        </w:rPr>
        <w:t xml:space="preserve"> </w:t>
      </w:r>
    </w:p>
    <w:p w:rsidR="00E759E1" w:rsidRPr="00E90A18" w:rsidRDefault="00E759E1" w:rsidP="00023DDC">
      <w:pPr>
        <w:pStyle w:val="H23G"/>
        <w:spacing w:line="240" w:lineRule="atLeast"/>
        <w:rPr>
          <w:lang w:eastAsia="zh-CN"/>
        </w:rPr>
      </w:pPr>
      <w:r>
        <w:rPr>
          <w:lang w:eastAsia="zh-CN"/>
        </w:rPr>
        <w:tab/>
      </w:r>
      <w:r w:rsidRPr="00E90A18">
        <w:rPr>
          <w:lang w:eastAsia="zh-CN"/>
        </w:rPr>
        <w:t>5.</w:t>
      </w:r>
      <w:r w:rsidRPr="00E90A18">
        <w:rPr>
          <w:lang w:eastAsia="zh-CN"/>
        </w:rPr>
        <w:tab/>
        <w:t>Freedom of expression, association and assembly</w:t>
      </w:r>
    </w:p>
    <w:p w:rsidR="00E759E1" w:rsidRPr="00B2489C" w:rsidRDefault="00E759E1" w:rsidP="00023DDC">
      <w:pPr>
        <w:pStyle w:val="SingleTxtG"/>
        <w:rPr>
          <w:rFonts w:eastAsia="SimSun"/>
          <w:lang w:eastAsia="zh-CN"/>
        </w:rPr>
      </w:pPr>
      <w:r w:rsidRPr="00B2489C">
        <w:rPr>
          <w:lang w:eastAsia="zh-CN"/>
        </w:rPr>
        <w:t>60.</w:t>
      </w:r>
      <w:r w:rsidRPr="00B2489C">
        <w:rPr>
          <w:lang w:eastAsia="zh-CN"/>
        </w:rPr>
        <w:tab/>
        <w:t xml:space="preserve">United Nations human rights experts continue to highlight discriminatory restrictions on </w:t>
      </w:r>
      <w:r w:rsidR="00B649D4">
        <w:rPr>
          <w:lang w:eastAsia="zh-CN"/>
        </w:rPr>
        <w:t xml:space="preserve">the </w:t>
      </w:r>
      <w:r w:rsidRPr="00B2489C">
        <w:rPr>
          <w:lang w:eastAsia="zh-CN"/>
        </w:rPr>
        <w:t xml:space="preserve">rights to freedom of expression, association and assembly of LGBT </w:t>
      </w:r>
      <w:r>
        <w:rPr>
          <w:lang w:eastAsia="zh-CN"/>
        </w:rPr>
        <w:t>persons</w:t>
      </w:r>
      <w:r w:rsidRPr="00B2489C">
        <w:rPr>
          <w:lang w:eastAsia="zh-CN"/>
        </w:rPr>
        <w:t xml:space="preserve"> and those defending their rights.</w:t>
      </w:r>
      <w:r w:rsidRPr="0035771E">
        <w:rPr>
          <w:rFonts w:eastAsia="SimSun"/>
          <w:sz w:val="18"/>
          <w:szCs w:val="18"/>
          <w:vertAlign w:val="superscript"/>
          <w:lang w:eastAsia="zh-CN"/>
        </w:rPr>
        <w:footnoteReference w:id="103"/>
      </w:r>
      <w:r w:rsidRPr="00B2489C">
        <w:rPr>
          <w:lang w:eastAsia="zh-CN"/>
        </w:rPr>
        <w:t xml:space="preserve"> Concerns include direct censorship, bans on dissemination of information and restrictions on advocacy.</w:t>
      </w:r>
      <w:r w:rsidRPr="0035771E">
        <w:rPr>
          <w:rFonts w:eastAsia="SimSun"/>
          <w:sz w:val="18"/>
          <w:szCs w:val="18"/>
          <w:vertAlign w:val="superscript"/>
          <w:lang w:eastAsia="zh-CN"/>
        </w:rPr>
        <w:footnoteReference w:id="104"/>
      </w:r>
      <w:r w:rsidRPr="00B2489C">
        <w:rPr>
          <w:lang w:eastAsia="zh-CN"/>
        </w:rPr>
        <w:t xml:space="preserve"> </w:t>
      </w:r>
    </w:p>
    <w:p w:rsidR="00E759E1" w:rsidRPr="00B2489C" w:rsidRDefault="00E759E1" w:rsidP="00023DDC">
      <w:pPr>
        <w:pStyle w:val="SingleTxtG"/>
        <w:rPr>
          <w:lang w:eastAsia="zh-CN"/>
        </w:rPr>
      </w:pPr>
      <w:r w:rsidRPr="00B2489C">
        <w:rPr>
          <w:lang w:eastAsia="zh-CN"/>
        </w:rPr>
        <w:t>61.</w:t>
      </w:r>
      <w:r w:rsidRPr="00B2489C">
        <w:rPr>
          <w:lang w:eastAsia="zh-CN"/>
        </w:rPr>
        <w:tab/>
        <w:t>LGBT organizations continue to have registration applications rejected, reviews delayed and legal registration revoked on discriminatory grounds.</w:t>
      </w:r>
      <w:r w:rsidRPr="0035771E">
        <w:rPr>
          <w:rFonts w:eastAsia="SimSun"/>
          <w:sz w:val="18"/>
          <w:szCs w:val="18"/>
          <w:vertAlign w:val="superscript"/>
          <w:lang w:eastAsia="zh-CN"/>
        </w:rPr>
        <w:footnoteReference w:id="105"/>
      </w:r>
      <w:r w:rsidRPr="00B2489C">
        <w:rPr>
          <w:lang w:eastAsia="zh-CN"/>
        </w:rPr>
        <w:t xml:space="preserve"> Permission to hold meetings, workshops and cultural events may be denied in an attempt to suppress political and artistic expression.</w:t>
      </w:r>
      <w:r w:rsidRPr="0035771E">
        <w:rPr>
          <w:rFonts w:eastAsia="SimSun"/>
          <w:sz w:val="18"/>
          <w:szCs w:val="18"/>
          <w:vertAlign w:val="superscript"/>
          <w:lang w:eastAsia="zh-CN"/>
        </w:rPr>
        <w:footnoteReference w:id="106"/>
      </w:r>
      <w:r w:rsidRPr="00B2489C">
        <w:rPr>
          <w:lang w:eastAsia="zh-CN"/>
        </w:rPr>
        <w:t xml:space="preserve"> Police officers have raided the offices of LGBT groups, arrested and harassed staff and volunteers, and confiscated materials, sometimes putting the privacy and safety of staff and supporters at risk.</w:t>
      </w:r>
      <w:r w:rsidRPr="0035771E">
        <w:rPr>
          <w:rFonts w:eastAsia="SimSun"/>
          <w:sz w:val="18"/>
          <w:szCs w:val="18"/>
          <w:vertAlign w:val="superscript"/>
          <w:lang w:eastAsia="zh-CN"/>
        </w:rPr>
        <w:footnoteReference w:id="107"/>
      </w:r>
      <w:r w:rsidRPr="00B2489C">
        <w:rPr>
          <w:lang w:eastAsia="zh-CN"/>
        </w:rPr>
        <w:t xml:space="preserve"> The offices of LGBT organizations have been targets of vandalism, burglary and arson,</w:t>
      </w:r>
      <w:r w:rsidRPr="0035771E">
        <w:rPr>
          <w:rFonts w:eastAsia="SimSun"/>
          <w:sz w:val="18"/>
          <w:szCs w:val="18"/>
          <w:vertAlign w:val="superscript"/>
          <w:lang w:eastAsia="zh-CN"/>
        </w:rPr>
        <w:footnoteReference w:id="108"/>
      </w:r>
      <w:r w:rsidRPr="00B2489C">
        <w:rPr>
          <w:lang w:eastAsia="zh-CN"/>
        </w:rPr>
        <w:t xml:space="preserve"> </w:t>
      </w:r>
      <w:r w:rsidRPr="00B2489C">
        <w:rPr>
          <w:rFonts w:eastAsia="SimSun"/>
          <w:lang w:val="en-US" w:eastAsia="zh-CN"/>
        </w:rPr>
        <w:t>and such incidents are seldom investigated promptly.</w:t>
      </w:r>
      <w:r w:rsidRPr="0035771E">
        <w:rPr>
          <w:rFonts w:eastAsia="SimSun"/>
          <w:sz w:val="18"/>
          <w:szCs w:val="18"/>
          <w:vertAlign w:val="superscript"/>
          <w:lang w:eastAsia="zh-CN"/>
        </w:rPr>
        <w:footnoteReference w:id="109"/>
      </w:r>
    </w:p>
    <w:p w:rsidR="00E759E1" w:rsidRPr="00B2489C" w:rsidRDefault="00E759E1" w:rsidP="00023DDC">
      <w:pPr>
        <w:pStyle w:val="SingleTxtG"/>
        <w:rPr>
          <w:lang w:eastAsia="zh-CN"/>
        </w:rPr>
      </w:pPr>
      <w:r w:rsidRPr="00B2489C">
        <w:rPr>
          <w:lang w:eastAsia="zh-CN"/>
        </w:rPr>
        <w:lastRenderedPageBreak/>
        <w:t>62.</w:t>
      </w:r>
      <w:r w:rsidRPr="00B2489C">
        <w:rPr>
          <w:lang w:eastAsia="zh-CN"/>
        </w:rPr>
        <w:tab/>
        <w:t>Private and State agents target “</w:t>
      </w:r>
      <w:r w:rsidR="008947DA">
        <w:rPr>
          <w:lang w:eastAsia="zh-CN"/>
        </w:rPr>
        <w:t>p</w:t>
      </w:r>
      <w:r w:rsidRPr="00B2489C">
        <w:rPr>
          <w:lang w:eastAsia="zh-CN"/>
        </w:rPr>
        <w:t xml:space="preserve">ride” marches, where LGBT </w:t>
      </w:r>
      <w:r w:rsidR="008947DA">
        <w:rPr>
          <w:lang w:eastAsia="zh-CN"/>
        </w:rPr>
        <w:t>persons</w:t>
      </w:r>
      <w:r w:rsidR="008947DA" w:rsidRPr="00B2489C">
        <w:rPr>
          <w:lang w:eastAsia="zh-CN"/>
        </w:rPr>
        <w:t xml:space="preserve"> </w:t>
      </w:r>
      <w:r w:rsidRPr="00B2489C">
        <w:rPr>
          <w:lang w:eastAsia="zh-CN"/>
        </w:rPr>
        <w:t>and their supporters are sometimes subjected to violence and</w:t>
      </w:r>
      <w:r w:rsidRPr="00B2489C">
        <w:rPr>
          <w:b/>
          <w:lang w:eastAsia="zh-CN"/>
        </w:rPr>
        <w:t xml:space="preserve"> </w:t>
      </w:r>
      <w:r w:rsidRPr="00B2489C">
        <w:rPr>
          <w:lang w:eastAsia="zh-CN"/>
        </w:rPr>
        <w:t>harassment.</w:t>
      </w:r>
      <w:r w:rsidRPr="0035771E">
        <w:rPr>
          <w:rFonts w:eastAsia="SimSun"/>
          <w:sz w:val="18"/>
          <w:szCs w:val="18"/>
          <w:vertAlign w:val="superscript"/>
          <w:lang w:eastAsia="zh-CN"/>
        </w:rPr>
        <w:footnoteReference w:id="110"/>
      </w:r>
      <w:r w:rsidRPr="00B2489C">
        <w:rPr>
          <w:lang w:eastAsia="zh-CN"/>
        </w:rPr>
        <w:t xml:space="preserve"> In some States, such events are denied police protection or permits, sometimes under guise of threats to public morals or safety, abrogating the State’s duty to uphold freedom of assembly and </w:t>
      </w:r>
      <w:r w:rsidR="00B649D4">
        <w:rPr>
          <w:lang w:eastAsia="zh-CN"/>
        </w:rPr>
        <w:t xml:space="preserve">to </w:t>
      </w:r>
      <w:r w:rsidRPr="00B2489C">
        <w:rPr>
          <w:lang w:eastAsia="zh-CN"/>
        </w:rPr>
        <w:t xml:space="preserve">protect LGBT </w:t>
      </w:r>
      <w:r w:rsidR="00B649D4">
        <w:rPr>
          <w:lang w:eastAsia="zh-CN"/>
        </w:rPr>
        <w:t>persons</w:t>
      </w:r>
      <w:r w:rsidR="00B649D4" w:rsidRPr="00B2489C">
        <w:rPr>
          <w:lang w:eastAsia="zh-CN"/>
        </w:rPr>
        <w:t xml:space="preserve"> </w:t>
      </w:r>
      <w:r w:rsidRPr="00B2489C">
        <w:rPr>
          <w:lang w:eastAsia="zh-CN"/>
        </w:rPr>
        <w:t>from violence.</w:t>
      </w:r>
      <w:r w:rsidRPr="0035771E">
        <w:rPr>
          <w:rFonts w:eastAsia="SimSun"/>
          <w:sz w:val="18"/>
          <w:szCs w:val="18"/>
          <w:vertAlign w:val="superscript"/>
          <w:lang w:eastAsia="zh-CN"/>
        </w:rPr>
        <w:footnoteReference w:id="111"/>
      </w:r>
      <w:r w:rsidRPr="00B2489C">
        <w:rPr>
          <w:lang w:eastAsia="zh-CN"/>
        </w:rPr>
        <w:t xml:space="preserve"> In the absence of proper police protection, marchers have been physically attacked and harassed by State and non-State actors, including far-right “skinhead” groups.</w:t>
      </w:r>
      <w:r w:rsidRPr="0035771E">
        <w:rPr>
          <w:rFonts w:eastAsia="SimSun"/>
          <w:sz w:val="18"/>
          <w:szCs w:val="18"/>
          <w:vertAlign w:val="superscript"/>
          <w:lang w:eastAsia="zh-CN"/>
        </w:rPr>
        <w:footnoteReference w:id="112"/>
      </w:r>
    </w:p>
    <w:p w:rsidR="00E759E1" w:rsidRPr="00B2489C" w:rsidRDefault="00E759E1" w:rsidP="00023DDC">
      <w:pPr>
        <w:pStyle w:val="SingleTxtG"/>
        <w:rPr>
          <w:lang w:eastAsia="zh-CN"/>
        </w:rPr>
      </w:pPr>
      <w:r w:rsidRPr="00B2489C">
        <w:rPr>
          <w:lang w:eastAsia="zh-CN"/>
        </w:rPr>
        <w:t>63.</w:t>
      </w:r>
      <w:r w:rsidRPr="00B2489C">
        <w:rPr>
          <w:lang w:eastAsia="zh-CN"/>
        </w:rPr>
        <w:tab/>
        <w:t>Women defenders and those advocating for gender</w:t>
      </w:r>
      <w:r w:rsidR="00B649D4">
        <w:rPr>
          <w:lang w:eastAsia="zh-CN"/>
        </w:rPr>
        <w:t>-</w:t>
      </w:r>
      <w:r w:rsidRPr="00B2489C">
        <w:rPr>
          <w:lang w:eastAsia="zh-CN"/>
        </w:rPr>
        <w:t xml:space="preserve"> and sexuality-related rights are often at particular risk because they are seen as challenging traditional assumptions about the role and status of women in society.</w:t>
      </w:r>
      <w:r w:rsidRPr="0035771E">
        <w:rPr>
          <w:rFonts w:eastAsia="SimSun"/>
          <w:sz w:val="18"/>
          <w:szCs w:val="18"/>
          <w:vertAlign w:val="superscript"/>
          <w:lang w:eastAsia="zh-CN"/>
        </w:rPr>
        <w:footnoteReference w:id="113"/>
      </w:r>
      <w:r w:rsidRPr="00B2489C">
        <w:rPr>
          <w:lang w:eastAsia="zh-CN"/>
        </w:rPr>
        <w:t xml:space="preserve"> </w:t>
      </w:r>
    </w:p>
    <w:p w:rsidR="00E759E1" w:rsidRPr="00E90A18" w:rsidRDefault="00E759E1" w:rsidP="00023DDC">
      <w:pPr>
        <w:pStyle w:val="H23G"/>
        <w:spacing w:line="240" w:lineRule="atLeast"/>
        <w:rPr>
          <w:lang w:eastAsia="zh-CN"/>
        </w:rPr>
      </w:pPr>
      <w:r>
        <w:rPr>
          <w:lang w:eastAsia="zh-CN"/>
        </w:rPr>
        <w:tab/>
      </w:r>
      <w:r w:rsidRPr="00E90A18">
        <w:rPr>
          <w:lang w:eastAsia="zh-CN"/>
        </w:rPr>
        <w:t>6.</w:t>
      </w:r>
      <w:r w:rsidRPr="00E90A18">
        <w:rPr>
          <w:lang w:eastAsia="zh-CN"/>
        </w:rPr>
        <w:tab/>
        <w:t>Asylum</w:t>
      </w:r>
      <w:r w:rsidRPr="00E90A18">
        <w:rPr>
          <w:rFonts w:eastAsia="SimSun"/>
          <w:lang w:val="en-US" w:eastAsia="zh-CN"/>
        </w:rPr>
        <w:t xml:space="preserve"> </w:t>
      </w:r>
      <w:r w:rsidRPr="00E90A18">
        <w:rPr>
          <w:lang w:eastAsia="zh-CN"/>
        </w:rPr>
        <w:t>and migration</w:t>
      </w:r>
    </w:p>
    <w:p w:rsidR="00E759E1" w:rsidRPr="00B2489C" w:rsidRDefault="00E759E1" w:rsidP="00023DDC">
      <w:pPr>
        <w:pStyle w:val="SingleTxtG"/>
        <w:rPr>
          <w:lang w:eastAsia="zh-CN"/>
        </w:rPr>
      </w:pPr>
      <w:r w:rsidRPr="00B2489C">
        <w:rPr>
          <w:lang w:eastAsia="zh-CN"/>
        </w:rPr>
        <w:t xml:space="preserve">64. </w:t>
      </w:r>
      <w:r w:rsidRPr="00B2489C">
        <w:rPr>
          <w:lang w:eastAsia="zh-CN"/>
        </w:rPr>
        <w:tab/>
        <w:t>Asylum and migration policies in this context vary considerably.</w:t>
      </w:r>
      <w:r w:rsidR="00B649D4">
        <w:rPr>
          <w:lang w:eastAsia="zh-CN"/>
        </w:rPr>
        <w:t xml:space="preserve"> The Office of the United Nations High Commissioner for Refugees</w:t>
      </w:r>
      <w:r w:rsidRPr="00B2489C">
        <w:rPr>
          <w:lang w:eastAsia="zh-CN"/>
        </w:rPr>
        <w:t xml:space="preserve"> </w:t>
      </w:r>
      <w:r w:rsidR="00B649D4">
        <w:rPr>
          <w:lang w:eastAsia="zh-CN"/>
        </w:rPr>
        <w:t>(</w:t>
      </w:r>
      <w:r w:rsidRPr="00B2489C">
        <w:rPr>
          <w:lang w:eastAsia="zh-CN"/>
        </w:rPr>
        <w:t>UNHCR</w:t>
      </w:r>
      <w:r w:rsidR="00B649D4">
        <w:rPr>
          <w:lang w:eastAsia="zh-CN"/>
        </w:rPr>
        <w:t>)</w:t>
      </w:r>
      <w:r w:rsidRPr="00B2489C">
        <w:rPr>
          <w:lang w:eastAsia="zh-CN"/>
        </w:rPr>
        <w:t xml:space="preserve"> estimates that some 42 States have granted asylum to individuals with a well-founded fear of persecution owing to sexual orientation or gender identity. At international borders, migrants and refugees may be subjected to invasive physical screenings and examinations and denied entry on discriminatory grounds.</w:t>
      </w:r>
      <w:r w:rsidRPr="0035771E">
        <w:rPr>
          <w:sz w:val="18"/>
          <w:szCs w:val="18"/>
          <w:vertAlign w:val="superscript"/>
          <w:lang w:eastAsia="zh-CN"/>
        </w:rPr>
        <w:footnoteReference w:id="114"/>
      </w:r>
    </w:p>
    <w:p w:rsidR="00E759E1" w:rsidRPr="00B2489C" w:rsidRDefault="00E759E1" w:rsidP="00023DDC">
      <w:pPr>
        <w:pStyle w:val="SingleTxtG"/>
        <w:rPr>
          <w:lang w:eastAsia="zh-CN"/>
        </w:rPr>
      </w:pPr>
      <w:r w:rsidRPr="00B2489C">
        <w:rPr>
          <w:lang w:eastAsia="zh-CN"/>
        </w:rPr>
        <w:t>65.</w:t>
      </w:r>
      <w:r w:rsidRPr="00B2489C">
        <w:rPr>
          <w:lang w:eastAsia="zh-CN"/>
        </w:rPr>
        <w:tab/>
        <w:t>Practices in States granting asylum sometimes fall short of international standards. Officials may be insensitive to the conditions facing LGBT asylum-seekers, and review of applications is sometimes arbitrary and inconsistent.</w:t>
      </w:r>
      <w:r w:rsidRPr="0035771E">
        <w:rPr>
          <w:rFonts w:eastAsia="SimSun"/>
          <w:sz w:val="18"/>
          <w:szCs w:val="18"/>
          <w:vertAlign w:val="superscript"/>
          <w:lang w:eastAsia="zh-CN"/>
        </w:rPr>
        <w:footnoteReference w:id="115"/>
      </w:r>
      <w:r w:rsidRPr="00B2489C">
        <w:rPr>
          <w:lang w:eastAsia="zh-CN"/>
        </w:rPr>
        <w:t xml:space="preserve"> </w:t>
      </w:r>
      <w:r w:rsidR="007B29E8">
        <w:rPr>
          <w:lang w:eastAsia="zh-CN"/>
        </w:rPr>
        <w:t>In its judgement of 2 December 2014, t</w:t>
      </w:r>
      <w:r w:rsidRPr="00B2489C">
        <w:rPr>
          <w:lang w:eastAsia="zh-CN"/>
        </w:rPr>
        <w:t>he Court of Justice of the European Union ordered States to cease use of intrusive questioning and medical tests purportedly designed to reveal applicants’ sexual orientation. Refugees and migrants are sometimes subjected to violence and discrimination while in detention facilities</w:t>
      </w:r>
      <w:r w:rsidR="00763365">
        <w:rPr>
          <w:lang w:eastAsia="zh-CN"/>
        </w:rPr>
        <w:t>,</w:t>
      </w:r>
      <w:r w:rsidRPr="0035771E">
        <w:rPr>
          <w:rFonts w:eastAsia="SimSun"/>
          <w:sz w:val="18"/>
          <w:szCs w:val="18"/>
          <w:vertAlign w:val="superscript"/>
          <w:lang w:eastAsia="zh-CN"/>
        </w:rPr>
        <w:footnoteReference w:id="116"/>
      </w:r>
      <w:r w:rsidRPr="00B2489C">
        <w:rPr>
          <w:lang w:eastAsia="zh-CN"/>
        </w:rPr>
        <w:t xml:space="preserve"> and when resettled, may be housed within communities where they experience additional sexuality</w:t>
      </w:r>
      <w:r w:rsidR="00B649D4">
        <w:rPr>
          <w:lang w:eastAsia="zh-CN"/>
        </w:rPr>
        <w:t>-</w:t>
      </w:r>
      <w:r w:rsidRPr="00B2489C">
        <w:rPr>
          <w:lang w:eastAsia="zh-CN"/>
        </w:rPr>
        <w:t xml:space="preserve"> and gender-related risks. </w:t>
      </w:r>
      <w:r w:rsidR="00B649D4">
        <w:rPr>
          <w:lang w:eastAsia="zh-CN"/>
        </w:rPr>
        <w:t>The r</w:t>
      </w:r>
      <w:r w:rsidRPr="0035771E">
        <w:rPr>
          <w:lang w:eastAsia="zh-CN"/>
        </w:rPr>
        <w:t>efoulement</w:t>
      </w:r>
      <w:r w:rsidRPr="00B2489C">
        <w:rPr>
          <w:lang w:eastAsia="zh-CN"/>
        </w:rPr>
        <w:t xml:space="preserve"> of asylum</w:t>
      </w:r>
      <w:r w:rsidR="00C036B2">
        <w:rPr>
          <w:lang w:eastAsia="zh-CN"/>
        </w:rPr>
        <w:t xml:space="preserve"> </w:t>
      </w:r>
      <w:r w:rsidRPr="00B2489C">
        <w:rPr>
          <w:lang w:eastAsia="zh-CN"/>
        </w:rPr>
        <w:t>seekers fleeing such persecution expose</w:t>
      </w:r>
      <w:r w:rsidR="00B649D4">
        <w:rPr>
          <w:lang w:eastAsia="zh-CN"/>
        </w:rPr>
        <w:t>s</w:t>
      </w:r>
      <w:r w:rsidRPr="00B2489C">
        <w:rPr>
          <w:lang w:eastAsia="zh-CN"/>
        </w:rPr>
        <w:t xml:space="preserve"> them to the risk of violence, discrimination, criminalization and the death penalty.</w:t>
      </w:r>
      <w:r w:rsidRPr="0035771E">
        <w:rPr>
          <w:rFonts w:eastAsia="SimSun"/>
          <w:sz w:val="18"/>
          <w:szCs w:val="18"/>
          <w:vertAlign w:val="superscript"/>
          <w:lang w:eastAsia="zh-CN"/>
        </w:rPr>
        <w:footnoteReference w:id="117"/>
      </w:r>
      <w:r w:rsidRPr="00B2489C">
        <w:rPr>
          <w:lang w:eastAsia="zh-CN"/>
        </w:rPr>
        <w:t xml:space="preserve"> </w:t>
      </w:r>
    </w:p>
    <w:p w:rsidR="00E759E1" w:rsidRPr="00E90A18" w:rsidRDefault="00E759E1" w:rsidP="00023DDC">
      <w:pPr>
        <w:pStyle w:val="H23G"/>
        <w:spacing w:line="240" w:lineRule="atLeast"/>
        <w:rPr>
          <w:lang w:eastAsia="zh-CN"/>
        </w:rPr>
      </w:pPr>
      <w:r>
        <w:rPr>
          <w:lang w:eastAsia="zh-CN"/>
        </w:rPr>
        <w:tab/>
      </w:r>
      <w:r w:rsidRPr="00E90A18">
        <w:rPr>
          <w:lang w:eastAsia="zh-CN"/>
        </w:rPr>
        <w:t>7.</w:t>
      </w:r>
      <w:r w:rsidRPr="00E90A18">
        <w:rPr>
          <w:lang w:eastAsia="zh-CN"/>
        </w:rPr>
        <w:tab/>
        <w:t>Family and community</w:t>
      </w:r>
    </w:p>
    <w:p w:rsidR="00E759E1" w:rsidRPr="00B2489C" w:rsidRDefault="00E759E1" w:rsidP="00023DDC">
      <w:pPr>
        <w:pStyle w:val="SingleTxtG"/>
        <w:rPr>
          <w:lang w:eastAsia="zh-CN"/>
        </w:rPr>
      </w:pPr>
      <w:r w:rsidRPr="00B2489C">
        <w:rPr>
          <w:lang w:eastAsia="zh-CN"/>
        </w:rPr>
        <w:t>66.</w:t>
      </w:r>
      <w:r w:rsidRPr="00B2489C">
        <w:rPr>
          <w:lang w:eastAsia="zh-CN"/>
        </w:rPr>
        <w:tab/>
        <w:t>States’ responsibility to protect individuals from discrimination extends to the family sphere, where rejection</w:t>
      </w:r>
      <w:r w:rsidR="00AB634A">
        <w:rPr>
          <w:lang w:eastAsia="zh-CN"/>
        </w:rPr>
        <w:t xml:space="preserve"> and</w:t>
      </w:r>
      <w:r w:rsidRPr="00B2489C">
        <w:rPr>
          <w:lang w:eastAsia="zh-CN"/>
        </w:rPr>
        <w:t xml:space="preserve"> discriminatory treatment </w:t>
      </w:r>
      <w:r w:rsidR="00AB634A">
        <w:rPr>
          <w:lang w:eastAsia="zh-CN"/>
        </w:rPr>
        <w:t xml:space="preserve">of </w:t>
      </w:r>
      <w:r w:rsidR="00764F7F">
        <w:rPr>
          <w:lang w:eastAsia="zh-CN"/>
        </w:rPr>
        <w:t xml:space="preserve">and </w:t>
      </w:r>
      <w:r w:rsidRPr="00B2489C">
        <w:rPr>
          <w:lang w:eastAsia="zh-CN"/>
        </w:rPr>
        <w:t xml:space="preserve">violence against LGBT and intersex family members can have serious, negative consequences for the enjoyment of human rights. Examples include individuals being physically assaulted, raped, excluded from family homes, disinherited, prevented from going to school, sent to psychiatric institutions, forced to marry, forced to give up custody of their children, punished for activist work and subjected to attacks on personal reputation. In </w:t>
      </w:r>
      <w:r w:rsidR="00AB634A">
        <w:rPr>
          <w:lang w:eastAsia="zh-CN"/>
        </w:rPr>
        <w:t>States</w:t>
      </w:r>
      <w:r w:rsidR="00AB634A" w:rsidRPr="00B2489C">
        <w:rPr>
          <w:lang w:eastAsia="zh-CN"/>
        </w:rPr>
        <w:t xml:space="preserve"> </w:t>
      </w:r>
      <w:r w:rsidRPr="00B2489C">
        <w:rPr>
          <w:lang w:eastAsia="zh-CN"/>
        </w:rPr>
        <w:t xml:space="preserve">where homosexuality is criminalized, victims may be reluctant to report violence perpetrated by a </w:t>
      </w:r>
      <w:r w:rsidRPr="00B2489C">
        <w:rPr>
          <w:lang w:eastAsia="zh-CN"/>
        </w:rPr>
        <w:lastRenderedPageBreak/>
        <w:t>family member for fear of the criminal ramifications of revealing their sexual orientation.</w:t>
      </w:r>
      <w:r w:rsidRPr="00B2489C">
        <w:rPr>
          <w:rFonts w:eastAsia="SimSun"/>
          <w:vertAlign w:val="superscript"/>
          <w:lang w:eastAsia="zh-CN"/>
        </w:rPr>
        <w:t xml:space="preserve"> </w:t>
      </w:r>
      <w:r w:rsidRPr="00B2489C">
        <w:rPr>
          <w:lang w:eastAsia="zh-CN"/>
        </w:rPr>
        <w:t xml:space="preserve">Lesbians, bisexual women and transgender </w:t>
      </w:r>
      <w:r w:rsidR="00AB634A">
        <w:rPr>
          <w:lang w:eastAsia="zh-CN"/>
        </w:rPr>
        <w:t>persons</w:t>
      </w:r>
      <w:r w:rsidR="00AB634A" w:rsidRPr="00B2489C">
        <w:rPr>
          <w:lang w:eastAsia="zh-CN"/>
        </w:rPr>
        <w:t xml:space="preserve"> </w:t>
      </w:r>
      <w:r w:rsidRPr="00B2489C">
        <w:rPr>
          <w:lang w:eastAsia="zh-CN"/>
        </w:rPr>
        <w:t>are often especially at risk owing to gender inequalities and restrictions on autonomy in decision-making about sexuality, reproduction and family life.</w:t>
      </w:r>
      <w:r w:rsidRPr="0035771E">
        <w:rPr>
          <w:rFonts w:eastAsia="SimSun"/>
          <w:sz w:val="18"/>
          <w:szCs w:val="18"/>
          <w:vertAlign w:val="superscript"/>
          <w:lang w:eastAsia="zh-CN"/>
        </w:rPr>
        <w:footnoteReference w:id="118"/>
      </w:r>
      <w:r w:rsidRPr="00B2489C">
        <w:rPr>
          <w:lang w:eastAsia="zh-CN"/>
        </w:rPr>
        <w:t xml:space="preserve"> </w:t>
      </w:r>
    </w:p>
    <w:p w:rsidR="00E759E1" w:rsidRPr="00E90A18" w:rsidRDefault="00E759E1" w:rsidP="00023DDC">
      <w:pPr>
        <w:pStyle w:val="H23G"/>
        <w:spacing w:line="240" w:lineRule="atLeast"/>
        <w:rPr>
          <w:lang w:eastAsia="zh-CN"/>
        </w:rPr>
      </w:pPr>
      <w:r>
        <w:rPr>
          <w:lang w:eastAsia="zh-CN"/>
        </w:rPr>
        <w:tab/>
      </w:r>
      <w:r w:rsidRPr="00E90A18">
        <w:rPr>
          <w:lang w:eastAsia="zh-CN"/>
        </w:rPr>
        <w:t>8.</w:t>
      </w:r>
      <w:r w:rsidRPr="00E90A18">
        <w:rPr>
          <w:lang w:eastAsia="zh-CN"/>
        </w:rPr>
        <w:tab/>
        <w:t>Recognition of relationships and related access to State and other benefits</w:t>
      </w:r>
    </w:p>
    <w:p w:rsidR="00E759E1" w:rsidRPr="00B2489C" w:rsidRDefault="00E759E1" w:rsidP="00023DDC">
      <w:pPr>
        <w:pStyle w:val="SingleTxtG"/>
        <w:rPr>
          <w:lang w:eastAsia="zh-CN"/>
        </w:rPr>
      </w:pPr>
      <w:r w:rsidRPr="00B2489C">
        <w:rPr>
          <w:lang w:eastAsia="zh-CN"/>
        </w:rPr>
        <w:t>67.</w:t>
      </w:r>
      <w:r w:rsidRPr="00B2489C">
        <w:rPr>
          <w:lang w:eastAsia="zh-CN"/>
        </w:rPr>
        <w:tab/>
        <w:t>While States are not required under international law to recognize same-sex marriage,</w:t>
      </w:r>
      <w:r w:rsidRPr="0035771E">
        <w:rPr>
          <w:rFonts w:eastAsia="SimSun"/>
          <w:sz w:val="18"/>
          <w:szCs w:val="18"/>
          <w:vertAlign w:val="superscript"/>
          <w:lang w:eastAsia="zh-CN"/>
        </w:rPr>
        <w:footnoteReference w:id="119"/>
      </w:r>
      <w:r w:rsidRPr="00B2489C">
        <w:rPr>
          <w:lang w:eastAsia="zh-CN"/>
        </w:rPr>
        <w:t xml:space="preserve"> the Committee on Economic, Social and Cultural Rights has called </w:t>
      </w:r>
      <w:r w:rsidR="00AB634A">
        <w:rPr>
          <w:lang w:eastAsia="zh-CN"/>
        </w:rPr>
        <w:t>up</w:t>
      </w:r>
      <w:r w:rsidRPr="00B2489C">
        <w:rPr>
          <w:lang w:eastAsia="zh-CN"/>
        </w:rPr>
        <w:t>on States to provide for legal recognition of same-sex couples.</w:t>
      </w:r>
      <w:r w:rsidRPr="0035771E">
        <w:rPr>
          <w:rFonts w:eastAsia="SimSun"/>
          <w:sz w:val="18"/>
          <w:szCs w:val="18"/>
          <w:vertAlign w:val="superscript"/>
          <w:lang w:eastAsia="zh-CN"/>
        </w:rPr>
        <w:footnoteReference w:id="120"/>
      </w:r>
      <w:r w:rsidRPr="0035771E">
        <w:rPr>
          <w:sz w:val="18"/>
          <w:szCs w:val="18"/>
          <w:vertAlign w:val="superscript"/>
          <w:lang w:eastAsia="zh-CN"/>
        </w:rPr>
        <w:t xml:space="preserve"> </w:t>
      </w:r>
      <w:r w:rsidRPr="00B2489C">
        <w:rPr>
          <w:lang w:eastAsia="zh-CN"/>
        </w:rPr>
        <w:t xml:space="preserve">As </w:t>
      </w:r>
      <w:r w:rsidR="00AB634A">
        <w:rPr>
          <w:lang w:eastAsia="zh-CN"/>
        </w:rPr>
        <w:t>at</w:t>
      </w:r>
      <w:r w:rsidR="00AB634A" w:rsidRPr="00B2489C">
        <w:rPr>
          <w:lang w:eastAsia="zh-CN"/>
        </w:rPr>
        <w:t xml:space="preserve"> </w:t>
      </w:r>
      <w:r w:rsidRPr="00B2489C">
        <w:rPr>
          <w:lang w:eastAsia="zh-CN"/>
        </w:rPr>
        <w:t>April 2015, 34 States offered same-sex couples either marriage or civil unions, which bestow many of the same benefits and entitlements as marriage.</w:t>
      </w:r>
      <w:r w:rsidRPr="0035771E">
        <w:rPr>
          <w:rFonts w:eastAsia="SimSun"/>
          <w:sz w:val="18"/>
          <w:szCs w:val="18"/>
          <w:vertAlign w:val="superscript"/>
          <w:lang w:eastAsia="zh-CN"/>
        </w:rPr>
        <w:footnoteReference w:id="121"/>
      </w:r>
      <w:r w:rsidRPr="00B2489C">
        <w:rPr>
          <w:lang w:eastAsia="zh-CN"/>
        </w:rPr>
        <w:t xml:space="preserve"> Wherever States provide benefits such as pension and inheritance entitlements for unmarried heterosexual couples, the same benefits should be available to unmarried homosexual couples.</w:t>
      </w:r>
      <w:r w:rsidRPr="0035771E">
        <w:rPr>
          <w:rFonts w:eastAsia="SimSun"/>
          <w:sz w:val="18"/>
          <w:szCs w:val="18"/>
          <w:vertAlign w:val="superscript"/>
          <w:lang w:eastAsia="zh-CN"/>
        </w:rPr>
        <w:footnoteReference w:id="122"/>
      </w:r>
    </w:p>
    <w:p w:rsidR="00E759E1" w:rsidRPr="00B2489C" w:rsidRDefault="00E759E1" w:rsidP="00023DDC">
      <w:pPr>
        <w:pStyle w:val="SingleTxtG"/>
        <w:rPr>
          <w:lang w:eastAsia="zh-CN"/>
        </w:rPr>
      </w:pPr>
      <w:r w:rsidRPr="00B2489C">
        <w:rPr>
          <w:lang w:eastAsia="zh-CN"/>
        </w:rPr>
        <w:t xml:space="preserve">68. </w:t>
      </w:r>
      <w:r w:rsidRPr="00B2489C">
        <w:rPr>
          <w:lang w:eastAsia="zh-CN"/>
        </w:rPr>
        <w:tab/>
        <w:t>Lack of official recognition of same-sex relationships and absence of legal prohibition on discrimination can result in same-sex partners being treated unfairly by private actors, including health</w:t>
      </w:r>
      <w:r w:rsidR="002A28D5">
        <w:rPr>
          <w:lang w:eastAsia="zh-CN"/>
        </w:rPr>
        <w:t>-</w:t>
      </w:r>
      <w:r w:rsidRPr="00B2489C">
        <w:rPr>
          <w:lang w:eastAsia="zh-CN"/>
        </w:rPr>
        <w:t xml:space="preserve">care providers and insurance companies. </w:t>
      </w:r>
      <w:r w:rsidR="002A28D5">
        <w:rPr>
          <w:lang w:eastAsia="zh-CN"/>
        </w:rPr>
        <w:t>The United Nations Children’s Fund (</w:t>
      </w:r>
      <w:r w:rsidRPr="00B2489C">
        <w:rPr>
          <w:lang w:eastAsia="zh-CN"/>
        </w:rPr>
        <w:t>UNICEF</w:t>
      </w:r>
      <w:r w:rsidR="002A28D5">
        <w:rPr>
          <w:lang w:eastAsia="zh-CN"/>
        </w:rPr>
        <w:t>)</w:t>
      </w:r>
      <w:r w:rsidRPr="00B2489C">
        <w:rPr>
          <w:lang w:eastAsia="zh-CN"/>
        </w:rPr>
        <w:t>, the Committee on the Rights of the Child and the Inter-American Court of Human Rights have expressed concern at discrimination against, and the lack of legal protection of, children of same-sex couples.</w:t>
      </w:r>
      <w:r w:rsidRPr="0035771E">
        <w:rPr>
          <w:rFonts w:eastAsia="SimSun"/>
          <w:sz w:val="18"/>
          <w:szCs w:val="18"/>
          <w:vertAlign w:val="superscript"/>
          <w:lang w:eastAsia="zh-CN"/>
        </w:rPr>
        <w:footnoteReference w:id="123"/>
      </w:r>
      <w:r w:rsidRPr="00B2489C">
        <w:rPr>
          <w:lang w:eastAsia="zh-CN"/>
        </w:rPr>
        <w:t xml:space="preserve"> </w:t>
      </w:r>
    </w:p>
    <w:p w:rsidR="00E759E1" w:rsidRPr="00E90A18" w:rsidRDefault="00E759E1" w:rsidP="00023DDC">
      <w:pPr>
        <w:pStyle w:val="H23G"/>
        <w:spacing w:line="240" w:lineRule="atLeast"/>
        <w:rPr>
          <w:lang w:eastAsia="zh-CN"/>
        </w:rPr>
      </w:pPr>
      <w:r>
        <w:rPr>
          <w:lang w:eastAsia="zh-CN"/>
        </w:rPr>
        <w:tab/>
      </w:r>
      <w:r w:rsidRPr="00E90A18">
        <w:rPr>
          <w:lang w:eastAsia="zh-CN"/>
        </w:rPr>
        <w:t>9.</w:t>
      </w:r>
      <w:r w:rsidRPr="00E90A18">
        <w:rPr>
          <w:lang w:eastAsia="zh-CN"/>
        </w:rPr>
        <w:tab/>
        <w:t>Gender recognition and related issues</w:t>
      </w:r>
    </w:p>
    <w:p w:rsidR="00E759E1" w:rsidRPr="00B2489C" w:rsidRDefault="00E759E1" w:rsidP="00023DDC">
      <w:pPr>
        <w:pStyle w:val="SingleTxtG"/>
        <w:rPr>
          <w:lang w:eastAsia="zh-CN"/>
        </w:rPr>
      </w:pPr>
      <w:r w:rsidRPr="00B2489C">
        <w:rPr>
          <w:lang w:eastAsia="zh-CN"/>
        </w:rPr>
        <w:t>69.</w:t>
      </w:r>
      <w:r w:rsidRPr="00B2489C">
        <w:rPr>
          <w:lang w:eastAsia="zh-CN"/>
        </w:rPr>
        <w:tab/>
        <w:t>In spite of recent advances in several countries, transgender persons are generally still unable to obtain legal recognition of their preferred gender, including a change in recorded sex and first name on State-issued identity documents. As a result, they face multiple rights challenges, including in employment and housing, applying for bank credit or State benefits, or when travelling abroad.</w:t>
      </w:r>
    </w:p>
    <w:p w:rsidR="00E759E1" w:rsidRPr="00B2489C" w:rsidRDefault="00E759E1" w:rsidP="00023DDC">
      <w:pPr>
        <w:pStyle w:val="SingleTxtG"/>
        <w:rPr>
          <w:lang w:eastAsia="zh-CN"/>
        </w:rPr>
      </w:pPr>
      <w:r w:rsidRPr="00B2489C">
        <w:rPr>
          <w:lang w:eastAsia="zh-CN"/>
        </w:rPr>
        <w:t>70.</w:t>
      </w:r>
      <w:r w:rsidRPr="00B2489C">
        <w:rPr>
          <w:lang w:eastAsia="zh-CN"/>
        </w:rPr>
        <w:tab/>
        <w:t xml:space="preserve">Regulations in </w:t>
      </w:r>
      <w:r w:rsidR="00C503C4">
        <w:rPr>
          <w:lang w:eastAsia="zh-CN"/>
        </w:rPr>
        <w:t>States</w:t>
      </w:r>
      <w:r w:rsidR="00C503C4" w:rsidRPr="00B2489C">
        <w:rPr>
          <w:lang w:eastAsia="zh-CN"/>
        </w:rPr>
        <w:t xml:space="preserve"> </w:t>
      </w:r>
      <w:r w:rsidRPr="00B2489C">
        <w:rPr>
          <w:lang w:eastAsia="zh-CN"/>
        </w:rPr>
        <w:t>that recognize changes in gender often impose abusive requirements</w:t>
      </w:r>
      <w:r w:rsidRPr="00B2489C">
        <w:rPr>
          <w:rFonts w:eastAsia="SimSun"/>
          <w:sz w:val="24"/>
          <w:lang w:val="en-US" w:eastAsia="zh-CN"/>
        </w:rPr>
        <w:t xml:space="preserve"> </w:t>
      </w:r>
      <w:r w:rsidRPr="00B2489C">
        <w:rPr>
          <w:lang w:eastAsia="zh-CN"/>
        </w:rPr>
        <w:t xml:space="preserve">as a precondition of recognition – for example, </w:t>
      </w:r>
      <w:r w:rsidR="00C503C4">
        <w:rPr>
          <w:lang w:eastAsia="zh-CN"/>
        </w:rPr>
        <w:t xml:space="preserve">by </w:t>
      </w:r>
      <w:r w:rsidRPr="00B2489C">
        <w:rPr>
          <w:lang w:eastAsia="zh-CN"/>
        </w:rPr>
        <w:t>requiring that applicants be unmarried and undergo forced sterilization, forced gender reassignment and other medical procedures, in violation of international human rights standards.</w:t>
      </w:r>
      <w:r w:rsidRPr="0035771E">
        <w:rPr>
          <w:rFonts w:eastAsia="SimSun"/>
          <w:sz w:val="18"/>
          <w:szCs w:val="18"/>
          <w:vertAlign w:val="superscript"/>
          <w:lang w:eastAsia="zh-CN"/>
        </w:rPr>
        <w:footnoteReference w:id="124"/>
      </w:r>
    </w:p>
    <w:p w:rsidR="00E759E1" w:rsidRPr="00812B33" w:rsidRDefault="00E759E1" w:rsidP="00023DDC">
      <w:pPr>
        <w:pStyle w:val="H1G"/>
        <w:spacing w:line="240" w:lineRule="atLeast"/>
      </w:pPr>
      <w:r>
        <w:rPr>
          <w:lang w:eastAsia="zh-CN"/>
        </w:rPr>
        <w:lastRenderedPageBreak/>
        <w:tab/>
      </w:r>
      <w:r w:rsidRPr="00812B33">
        <w:t>C.</w:t>
      </w:r>
      <w:r w:rsidRPr="00812B33">
        <w:tab/>
        <w:t>Positive developments since 2011</w:t>
      </w:r>
    </w:p>
    <w:p w:rsidR="00E759E1" w:rsidRPr="00B2489C" w:rsidRDefault="00E759E1" w:rsidP="00023DDC">
      <w:pPr>
        <w:pStyle w:val="SingleTxtG"/>
        <w:rPr>
          <w:lang w:eastAsia="zh-CN"/>
        </w:rPr>
      </w:pPr>
      <w:r>
        <w:rPr>
          <w:lang w:eastAsia="zh-CN"/>
        </w:rPr>
        <w:t>71</w:t>
      </w:r>
      <w:r w:rsidRPr="00B2489C">
        <w:rPr>
          <w:lang w:eastAsia="zh-CN"/>
        </w:rPr>
        <w:t>.</w:t>
      </w:r>
      <w:r w:rsidRPr="00B2489C">
        <w:rPr>
          <w:lang w:eastAsia="zh-CN"/>
        </w:rPr>
        <w:tab/>
        <w:t xml:space="preserve">Three States </w:t>
      </w:r>
      <w:r w:rsidR="00C503C4">
        <w:rPr>
          <w:lang w:eastAsia="zh-CN"/>
        </w:rPr>
        <w:t>(</w:t>
      </w:r>
      <w:r>
        <w:rPr>
          <w:lang w:eastAsia="zh-CN"/>
        </w:rPr>
        <w:t xml:space="preserve">Mozambique, Palau and </w:t>
      </w:r>
      <w:r w:rsidRPr="00B2489C">
        <w:rPr>
          <w:lang w:eastAsia="zh-CN"/>
        </w:rPr>
        <w:t>Sao Tome and Principe</w:t>
      </w:r>
      <w:r w:rsidR="00C503C4">
        <w:rPr>
          <w:lang w:eastAsia="zh-CN"/>
        </w:rPr>
        <w:t>)</w:t>
      </w:r>
      <w:r w:rsidRPr="00B2489C">
        <w:rPr>
          <w:lang w:eastAsia="zh-CN"/>
        </w:rPr>
        <w:t xml:space="preserve"> have decriminalized consensual same</w:t>
      </w:r>
      <w:r w:rsidR="00C503C4">
        <w:rPr>
          <w:lang w:eastAsia="zh-CN"/>
        </w:rPr>
        <w:t>-</w:t>
      </w:r>
      <w:r w:rsidRPr="00B2489C">
        <w:rPr>
          <w:lang w:eastAsia="zh-CN"/>
        </w:rPr>
        <w:t xml:space="preserve">sex conduct, and several others have accepted recommendations to do so. The United Kingdom and several </w:t>
      </w:r>
      <w:r>
        <w:rPr>
          <w:lang w:eastAsia="zh-CN"/>
        </w:rPr>
        <w:t xml:space="preserve">states in </w:t>
      </w:r>
      <w:r w:rsidRPr="00B2489C">
        <w:rPr>
          <w:lang w:eastAsia="zh-CN"/>
        </w:rPr>
        <w:t>Australia have adopted m</w:t>
      </w:r>
      <w:r w:rsidRPr="00B2489C">
        <w:rPr>
          <w:rFonts w:eastAsia="SimSun"/>
          <w:szCs w:val="24"/>
          <w:lang w:eastAsia="zh-CN"/>
        </w:rPr>
        <w:t>easures to expunge the criminal records of individuals convicted of consensual homosexuality-related offences.</w:t>
      </w:r>
    </w:p>
    <w:p w:rsidR="00E759E1" w:rsidRPr="00B2489C" w:rsidRDefault="00E759E1" w:rsidP="00023DDC">
      <w:pPr>
        <w:pStyle w:val="SingleTxtG"/>
        <w:rPr>
          <w:rFonts w:eastAsia="SimSun"/>
          <w:color w:val="000000"/>
          <w:lang w:eastAsia="zh-CN"/>
        </w:rPr>
      </w:pPr>
      <w:r w:rsidRPr="00B2489C">
        <w:rPr>
          <w:rFonts w:eastAsia="SimSun"/>
          <w:color w:val="000000"/>
          <w:lang w:eastAsia="zh-CN"/>
        </w:rPr>
        <w:t>7</w:t>
      </w:r>
      <w:r>
        <w:rPr>
          <w:rFonts w:eastAsia="SimSun"/>
          <w:color w:val="000000"/>
          <w:lang w:eastAsia="zh-CN"/>
        </w:rPr>
        <w:t>2</w:t>
      </w:r>
      <w:r w:rsidRPr="00B2489C">
        <w:rPr>
          <w:rFonts w:eastAsia="SimSun"/>
          <w:color w:val="000000"/>
          <w:lang w:eastAsia="zh-CN"/>
        </w:rPr>
        <w:t>.</w:t>
      </w:r>
      <w:r w:rsidRPr="00B2489C">
        <w:rPr>
          <w:rFonts w:eastAsia="SimSun"/>
          <w:color w:val="000000"/>
          <w:lang w:eastAsia="zh-CN"/>
        </w:rPr>
        <w:tab/>
      </w:r>
      <w:r w:rsidRPr="00B2489C">
        <w:rPr>
          <w:rFonts w:eastAsia="SimSun"/>
          <w:lang w:eastAsia="zh-CN"/>
        </w:rPr>
        <w:t xml:space="preserve">Fiji has added an anti-discrimination clause in its </w:t>
      </w:r>
      <w:r w:rsidR="00C503C4">
        <w:rPr>
          <w:rFonts w:eastAsia="SimSun"/>
          <w:lang w:eastAsia="zh-CN"/>
        </w:rPr>
        <w:t>C</w:t>
      </w:r>
      <w:r w:rsidRPr="00B2489C">
        <w:rPr>
          <w:rFonts w:eastAsia="SimSun"/>
          <w:lang w:eastAsia="zh-CN"/>
        </w:rPr>
        <w:t xml:space="preserve">onstitution prohibiting discrimination based on sexual orientation, gender identity and gender expression, and Malta has added gender identity to the list of prohibited grounds of discrimination included in its </w:t>
      </w:r>
      <w:r w:rsidR="00B33BB6">
        <w:rPr>
          <w:rFonts w:eastAsia="SimSun"/>
          <w:lang w:eastAsia="zh-CN"/>
        </w:rPr>
        <w:t>C</w:t>
      </w:r>
      <w:r w:rsidRPr="00B2489C">
        <w:rPr>
          <w:rFonts w:eastAsia="SimSun"/>
          <w:lang w:eastAsia="zh-CN"/>
        </w:rPr>
        <w:t xml:space="preserve">onstitution. </w:t>
      </w:r>
      <w:r w:rsidRPr="00B2489C">
        <w:rPr>
          <w:rFonts w:eastAsia="SimSun"/>
          <w:color w:val="000000"/>
          <w:lang w:eastAsia="zh-CN"/>
        </w:rPr>
        <w:t xml:space="preserve">Anti-discrimination laws have also been strengthened in several </w:t>
      </w:r>
      <w:r w:rsidR="006B353F">
        <w:rPr>
          <w:rFonts w:eastAsia="SimSun"/>
          <w:color w:val="000000"/>
          <w:lang w:eastAsia="zh-CN"/>
        </w:rPr>
        <w:t>States</w:t>
      </w:r>
      <w:r w:rsidRPr="00B2489C">
        <w:rPr>
          <w:rFonts w:eastAsia="SimSun"/>
          <w:color w:val="000000"/>
          <w:lang w:eastAsia="zh-CN"/>
        </w:rPr>
        <w:t xml:space="preserve">, including Chile, Cuba, Georgia, </w:t>
      </w:r>
      <w:r>
        <w:rPr>
          <w:rFonts w:eastAsia="SimSun"/>
          <w:color w:val="000000"/>
          <w:lang w:eastAsia="zh-CN"/>
        </w:rPr>
        <w:t xml:space="preserve">the Republic of </w:t>
      </w:r>
      <w:r w:rsidRPr="00B2489C">
        <w:rPr>
          <w:rFonts w:eastAsia="SimSun"/>
          <w:color w:val="000000"/>
          <w:lang w:eastAsia="zh-CN"/>
        </w:rPr>
        <w:t>Moldova, Montenegro, as well as in Australia and Malta</w:t>
      </w:r>
      <w:r w:rsidR="006B353F">
        <w:rPr>
          <w:rFonts w:eastAsia="SimSun"/>
          <w:color w:val="000000"/>
          <w:lang w:eastAsia="zh-CN"/>
        </w:rPr>
        <w:t>,</w:t>
      </w:r>
      <w:r w:rsidRPr="00B2489C">
        <w:rPr>
          <w:rFonts w:eastAsia="SimSun"/>
          <w:color w:val="000000"/>
          <w:lang w:eastAsia="zh-CN"/>
        </w:rPr>
        <w:t xml:space="preserve"> which became the first countries to expressly prohibit discrimination against intersex </w:t>
      </w:r>
      <w:r w:rsidR="006B353F">
        <w:rPr>
          <w:rFonts w:eastAsia="SimSun"/>
          <w:color w:val="000000"/>
          <w:lang w:eastAsia="zh-CN"/>
        </w:rPr>
        <w:t>persons</w:t>
      </w:r>
      <w:r w:rsidRPr="00B2489C">
        <w:rPr>
          <w:rFonts w:eastAsia="SimSun"/>
          <w:color w:val="000000"/>
          <w:lang w:eastAsia="zh-CN"/>
        </w:rPr>
        <w:t xml:space="preserve">. </w:t>
      </w:r>
    </w:p>
    <w:p w:rsidR="00E759E1" w:rsidRPr="00B2489C" w:rsidRDefault="00E759E1" w:rsidP="00023DDC">
      <w:pPr>
        <w:pStyle w:val="SingleTxtG"/>
        <w:rPr>
          <w:lang w:eastAsia="zh-CN"/>
        </w:rPr>
      </w:pPr>
      <w:r w:rsidRPr="00B2489C">
        <w:rPr>
          <w:rFonts w:eastAsia="SimSun"/>
          <w:color w:val="000000"/>
          <w:lang w:eastAsia="zh-CN"/>
        </w:rPr>
        <w:t>7</w:t>
      </w:r>
      <w:r>
        <w:rPr>
          <w:rFonts w:eastAsia="SimSun"/>
          <w:color w:val="000000"/>
          <w:lang w:eastAsia="zh-CN"/>
        </w:rPr>
        <w:t>3</w:t>
      </w:r>
      <w:r w:rsidRPr="00B2489C">
        <w:rPr>
          <w:rFonts w:eastAsia="SimSun"/>
          <w:color w:val="000000"/>
          <w:lang w:eastAsia="zh-CN"/>
        </w:rPr>
        <w:t>.</w:t>
      </w:r>
      <w:r w:rsidRPr="00B2489C">
        <w:rPr>
          <w:rFonts w:eastAsia="SimSun"/>
          <w:color w:val="000000"/>
          <w:lang w:eastAsia="zh-CN"/>
        </w:rPr>
        <w:tab/>
        <w:t>Legal recognition of same</w:t>
      </w:r>
      <w:r w:rsidR="006B353F">
        <w:rPr>
          <w:rFonts w:eastAsia="SimSun"/>
          <w:color w:val="000000"/>
          <w:lang w:eastAsia="zh-CN"/>
        </w:rPr>
        <w:t>-</w:t>
      </w:r>
      <w:r w:rsidRPr="00B2489C">
        <w:rPr>
          <w:rFonts w:eastAsia="SimSun"/>
          <w:color w:val="000000"/>
          <w:lang w:eastAsia="zh-CN"/>
        </w:rPr>
        <w:t xml:space="preserve">sex relationships was introduced in at least 12 additional </w:t>
      </w:r>
      <w:r w:rsidR="006B353F">
        <w:rPr>
          <w:rFonts w:eastAsia="SimSun"/>
          <w:color w:val="000000"/>
          <w:lang w:eastAsia="zh-CN"/>
        </w:rPr>
        <w:t>States,</w:t>
      </w:r>
      <w:r w:rsidRPr="00B2489C">
        <w:rPr>
          <w:rFonts w:eastAsia="SimSun"/>
          <w:color w:val="000000"/>
          <w:lang w:eastAsia="zh-CN"/>
        </w:rPr>
        <w:t xml:space="preserve"> either in the form of civil marriage (Brazil, </w:t>
      </w:r>
      <w:r>
        <w:rPr>
          <w:rFonts w:eastAsia="SimSun"/>
          <w:color w:val="000000"/>
          <w:lang w:eastAsia="zh-CN"/>
        </w:rPr>
        <w:t xml:space="preserve">Denmark, </w:t>
      </w:r>
      <w:r w:rsidRPr="00B2489C">
        <w:rPr>
          <w:rFonts w:eastAsia="SimSun"/>
          <w:color w:val="000000"/>
          <w:lang w:eastAsia="zh-CN"/>
        </w:rPr>
        <w:t xml:space="preserve">France, Luxembourg, New Zealand, United Kingdom, Uruguay) or civil unions (Chile, Croatia, Ireland, </w:t>
      </w:r>
      <w:r w:rsidR="006B353F" w:rsidRPr="00B2489C">
        <w:rPr>
          <w:rFonts w:eastAsia="SimSun"/>
          <w:color w:val="000000"/>
          <w:lang w:eastAsia="zh-CN"/>
        </w:rPr>
        <w:t>Liechtenstein</w:t>
      </w:r>
      <w:r w:rsidR="006B353F">
        <w:rPr>
          <w:rFonts w:eastAsia="SimSun"/>
          <w:color w:val="000000"/>
          <w:lang w:eastAsia="zh-CN"/>
        </w:rPr>
        <w:t>,</w:t>
      </w:r>
      <w:r w:rsidR="006B353F" w:rsidRPr="00B2489C">
        <w:rPr>
          <w:rFonts w:eastAsia="SimSun"/>
          <w:color w:val="000000"/>
          <w:lang w:eastAsia="zh-CN"/>
        </w:rPr>
        <w:t xml:space="preserve"> </w:t>
      </w:r>
      <w:r w:rsidRPr="00B2489C">
        <w:rPr>
          <w:rFonts w:eastAsia="SimSun"/>
          <w:color w:val="000000"/>
          <w:lang w:eastAsia="zh-CN"/>
        </w:rPr>
        <w:t>Malta). Argentina</w:t>
      </w:r>
      <w:r>
        <w:rPr>
          <w:rFonts w:eastAsia="SimSun"/>
          <w:color w:val="000000"/>
          <w:lang w:eastAsia="zh-CN"/>
        </w:rPr>
        <w:t>,</w:t>
      </w:r>
      <w:r w:rsidRPr="00B2489C">
        <w:rPr>
          <w:rFonts w:eastAsia="SimSun"/>
          <w:color w:val="000000"/>
          <w:lang w:eastAsia="zh-CN"/>
        </w:rPr>
        <w:t xml:space="preserve"> Denmark </w:t>
      </w:r>
      <w:r>
        <w:rPr>
          <w:rFonts w:eastAsia="SimSun"/>
          <w:color w:val="000000"/>
          <w:lang w:eastAsia="zh-CN"/>
        </w:rPr>
        <w:t xml:space="preserve">and Malta </w:t>
      </w:r>
      <w:r w:rsidRPr="00B2489C">
        <w:rPr>
          <w:rFonts w:eastAsia="SimSun"/>
          <w:color w:val="000000"/>
          <w:lang w:eastAsia="zh-CN"/>
        </w:rPr>
        <w:t xml:space="preserve">established new laws that allow transgender persons to obtain legal recognition of their gender identity on the basis of self-determination, while Australia (Australian Capital Territory), </w:t>
      </w:r>
      <w:r w:rsidR="006B353F">
        <w:rPr>
          <w:rFonts w:eastAsia="SimSun"/>
          <w:color w:val="000000"/>
          <w:lang w:eastAsia="zh-CN"/>
        </w:rPr>
        <w:t>t</w:t>
      </w:r>
      <w:r w:rsidRPr="00B2489C">
        <w:rPr>
          <w:rFonts w:eastAsia="SimSun"/>
          <w:color w:val="000000"/>
          <w:lang w:eastAsia="zh-CN"/>
        </w:rPr>
        <w:t xml:space="preserve">he Netherlands and Sweden removed abusive sterilization, forced treatment and divorce requirements. Argentina furthermore established access to free gender-affirming treatment for those who wish to receive such treatment. </w:t>
      </w:r>
      <w:r w:rsidRPr="00B2489C">
        <w:rPr>
          <w:rFonts w:eastAsia="SimSun"/>
          <w:lang w:eastAsia="zh-CN"/>
        </w:rPr>
        <w:t xml:space="preserve">Nepal and Bangladesh created a legal “third gender” category, and new passport policies in Australia and New Zealand allow individuals to choose male, female or indeterminate gender markers. </w:t>
      </w:r>
      <w:r w:rsidR="006B353F">
        <w:rPr>
          <w:lang w:eastAsia="zh-CN"/>
        </w:rPr>
        <w:t>The</w:t>
      </w:r>
      <w:r w:rsidR="006B353F" w:rsidRPr="00B2489C">
        <w:rPr>
          <w:lang w:eastAsia="zh-CN"/>
        </w:rPr>
        <w:t xml:space="preserve"> </w:t>
      </w:r>
      <w:r w:rsidRPr="00B2489C">
        <w:rPr>
          <w:lang w:eastAsia="zh-CN"/>
        </w:rPr>
        <w:t xml:space="preserve">Supreme Court </w:t>
      </w:r>
      <w:r w:rsidR="006B353F">
        <w:rPr>
          <w:lang w:eastAsia="zh-CN"/>
        </w:rPr>
        <w:t xml:space="preserve">of India </w:t>
      </w:r>
      <w:r w:rsidRPr="00B2489C">
        <w:rPr>
          <w:lang w:eastAsia="zh-CN"/>
        </w:rPr>
        <w:t xml:space="preserve">affirmed the right of transgender </w:t>
      </w:r>
      <w:r w:rsidR="006B353F">
        <w:rPr>
          <w:lang w:eastAsia="zh-CN"/>
        </w:rPr>
        <w:t>persons</w:t>
      </w:r>
      <w:r w:rsidR="006B353F" w:rsidRPr="00B2489C">
        <w:rPr>
          <w:lang w:eastAsia="zh-CN"/>
        </w:rPr>
        <w:t xml:space="preserve"> </w:t>
      </w:r>
      <w:r w:rsidRPr="00B2489C">
        <w:rPr>
          <w:lang w:eastAsia="zh-CN"/>
        </w:rPr>
        <w:t>to determine their own gender</w:t>
      </w:r>
      <w:r w:rsidR="006B353F">
        <w:rPr>
          <w:lang w:eastAsia="zh-CN"/>
        </w:rPr>
        <w:t>,</w:t>
      </w:r>
      <w:r w:rsidRPr="00B2489C">
        <w:rPr>
          <w:lang w:eastAsia="zh-CN"/>
        </w:rPr>
        <w:t xml:space="preserve"> and called </w:t>
      </w:r>
      <w:r w:rsidR="006B353F">
        <w:rPr>
          <w:lang w:eastAsia="zh-CN"/>
        </w:rPr>
        <w:t>up</w:t>
      </w:r>
      <w:r w:rsidRPr="00B2489C">
        <w:rPr>
          <w:lang w:eastAsia="zh-CN"/>
        </w:rPr>
        <w:t xml:space="preserve">on the Government to ensure equal rights for transgender </w:t>
      </w:r>
      <w:r w:rsidR="006B353F">
        <w:rPr>
          <w:lang w:eastAsia="zh-CN"/>
        </w:rPr>
        <w:t>persons</w:t>
      </w:r>
      <w:r>
        <w:rPr>
          <w:lang w:eastAsia="zh-CN"/>
        </w:rPr>
        <w:t>,</w:t>
      </w:r>
      <w:r w:rsidRPr="00B2489C">
        <w:rPr>
          <w:lang w:eastAsia="zh-CN"/>
        </w:rPr>
        <w:t xml:space="preserve"> including in access to health</w:t>
      </w:r>
      <w:r w:rsidR="006B353F">
        <w:rPr>
          <w:lang w:eastAsia="zh-CN"/>
        </w:rPr>
        <w:t xml:space="preserve"> </w:t>
      </w:r>
      <w:r w:rsidRPr="00B2489C">
        <w:rPr>
          <w:lang w:eastAsia="zh-CN"/>
        </w:rPr>
        <w:t>care, employment and education.</w:t>
      </w:r>
      <w:r w:rsidRPr="00E90A18">
        <w:t xml:space="preserve"> </w:t>
      </w:r>
      <w:r w:rsidRPr="00E90A18">
        <w:rPr>
          <w:lang w:eastAsia="zh-CN"/>
        </w:rPr>
        <w:t xml:space="preserve">Malta became the first </w:t>
      </w:r>
      <w:r w:rsidR="00FC527F">
        <w:rPr>
          <w:lang w:eastAsia="zh-CN"/>
        </w:rPr>
        <w:t>State</w:t>
      </w:r>
      <w:r w:rsidR="00FC527F" w:rsidRPr="00E90A18">
        <w:rPr>
          <w:lang w:eastAsia="zh-CN"/>
        </w:rPr>
        <w:t xml:space="preserve"> </w:t>
      </w:r>
      <w:r w:rsidRPr="00E90A18">
        <w:rPr>
          <w:lang w:eastAsia="zh-CN"/>
        </w:rPr>
        <w:t>to prohibit sex-assignment surgery or treatment on intersex minors without their informed consent.</w:t>
      </w:r>
    </w:p>
    <w:p w:rsidR="00E759E1" w:rsidRPr="00B2489C" w:rsidRDefault="00E759E1" w:rsidP="00023DDC">
      <w:pPr>
        <w:pStyle w:val="SingleTxtG"/>
        <w:rPr>
          <w:rFonts w:eastAsia="SimSun"/>
          <w:color w:val="000000"/>
          <w:lang w:eastAsia="zh-CN"/>
        </w:rPr>
      </w:pPr>
      <w:r w:rsidRPr="00B2489C">
        <w:rPr>
          <w:rFonts w:eastAsia="SimSun"/>
          <w:color w:val="000000"/>
          <w:lang w:eastAsia="zh-CN"/>
        </w:rPr>
        <w:t>7</w:t>
      </w:r>
      <w:r>
        <w:rPr>
          <w:rFonts w:eastAsia="SimSun"/>
          <w:color w:val="000000"/>
          <w:lang w:eastAsia="zh-CN"/>
        </w:rPr>
        <w:t>4</w:t>
      </w:r>
      <w:r w:rsidRPr="00B2489C">
        <w:rPr>
          <w:rFonts w:eastAsia="SimSun"/>
          <w:color w:val="000000"/>
          <w:lang w:eastAsia="zh-CN"/>
        </w:rPr>
        <w:t>.</w:t>
      </w:r>
      <w:r w:rsidRPr="00B2489C">
        <w:rPr>
          <w:rFonts w:eastAsia="SimSun"/>
          <w:color w:val="000000"/>
          <w:lang w:eastAsia="zh-CN"/>
        </w:rPr>
        <w:tab/>
        <w:t xml:space="preserve">Other </w:t>
      </w:r>
      <w:r>
        <w:rPr>
          <w:rFonts w:eastAsia="SimSun"/>
          <w:color w:val="000000"/>
          <w:lang w:eastAsia="zh-CN"/>
        </w:rPr>
        <w:t>initiatives</w:t>
      </w:r>
      <w:r w:rsidRPr="00B2489C">
        <w:rPr>
          <w:rFonts w:eastAsia="SimSun"/>
          <w:color w:val="000000"/>
          <w:lang w:eastAsia="zh-CN"/>
        </w:rPr>
        <w:t xml:space="preserve"> include the </w:t>
      </w:r>
      <w:r>
        <w:rPr>
          <w:rFonts w:eastAsia="SimSun"/>
          <w:color w:val="000000"/>
          <w:lang w:eastAsia="zh-CN"/>
        </w:rPr>
        <w:t>development</w:t>
      </w:r>
      <w:r w:rsidRPr="00B2489C">
        <w:rPr>
          <w:rFonts w:eastAsia="SimSun"/>
          <w:color w:val="000000"/>
          <w:lang w:eastAsia="zh-CN"/>
        </w:rPr>
        <w:t xml:space="preserve"> of a new judicial protocol to guide adjudication of cases involving human rights violations on grounds of sexual orientation and gender identity (Mexico); implementation of employment-related anti-discrimination protections (Bolivia</w:t>
      </w:r>
      <w:r w:rsidR="00FC527F">
        <w:rPr>
          <w:rFonts w:eastAsia="SimSun"/>
          <w:color w:val="000000"/>
          <w:lang w:eastAsia="zh-CN"/>
        </w:rPr>
        <w:t xml:space="preserve"> (Plurinational State of)</w:t>
      </w:r>
      <w:r w:rsidRPr="00B2489C">
        <w:rPr>
          <w:rFonts w:eastAsia="SimSun"/>
          <w:color w:val="000000"/>
          <w:lang w:eastAsia="zh-CN"/>
        </w:rPr>
        <w:t xml:space="preserve">, Botswana); new guidance materials and training for police, teachers and/or other officials (Canada, Colombia, Croatia, Denmark, Montenegro, Norway, Mexico, Serbia, Spain); expansion of anti-bullying programmes and other anti-discrimination measures in schools (Albania, Australia, Brazil, Canada, </w:t>
      </w:r>
      <w:r w:rsidR="00217544" w:rsidRPr="00B2489C">
        <w:rPr>
          <w:rFonts w:eastAsia="SimSun"/>
          <w:color w:val="000000"/>
          <w:lang w:eastAsia="zh-CN"/>
        </w:rPr>
        <w:t xml:space="preserve">Taiwan </w:t>
      </w:r>
      <w:r w:rsidR="00217544">
        <w:rPr>
          <w:rFonts w:eastAsia="SimSun"/>
          <w:color w:val="000000"/>
          <w:lang w:eastAsia="zh-CN"/>
        </w:rPr>
        <w:t xml:space="preserve">province of </w:t>
      </w:r>
      <w:r w:rsidRPr="00B2489C">
        <w:rPr>
          <w:rFonts w:eastAsia="SimSun"/>
          <w:color w:val="000000"/>
          <w:lang w:eastAsia="zh-CN"/>
        </w:rPr>
        <w:t>China, Ireland, Portugal, Sweden, United Kingdom), and annual reporting on discrimination and violence in schools (Brazil); LGBT suicide prevention programmes (Belgium, Japan, United Kingdom); a human rights-based comprehensive sexuality education curriculum for schools (South Africa); scholarships for transgender persons who enrol in vocational training (Brazil); construction of homeless shelters for LGBT youth (Albania, U</w:t>
      </w:r>
      <w:r>
        <w:rPr>
          <w:rFonts w:eastAsia="SimSun"/>
          <w:color w:val="000000"/>
          <w:lang w:eastAsia="zh-CN"/>
        </w:rPr>
        <w:t>nited States</w:t>
      </w:r>
      <w:r w:rsidRPr="00B2489C">
        <w:rPr>
          <w:rFonts w:eastAsia="SimSun"/>
          <w:color w:val="000000"/>
          <w:lang w:eastAsia="zh-CN"/>
        </w:rPr>
        <w:t xml:space="preserve">); and </w:t>
      </w:r>
      <w:r>
        <w:rPr>
          <w:rFonts w:eastAsia="SimSun"/>
          <w:color w:val="000000"/>
          <w:lang w:eastAsia="zh-CN"/>
        </w:rPr>
        <w:t>no longer requiring</w:t>
      </w:r>
      <w:r w:rsidRPr="00B2489C">
        <w:rPr>
          <w:rFonts w:eastAsia="SimSun"/>
          <w:color w:val="000000"/>
          <w:lang w:eastAsia="zh-CN"/>
        </w:rPr>
        <w:t xml:space="preserve"> external corroboration of sexual orientation or gender identity for LGBT asylum-seekers (Italy, Portugal).</w:t>
      </w:r>
    </w:p>
    <w:p w:rsidR="00E759E1" w:rsidRPr="00B2489C" w:rsidRDefault="00E759E1" w:rsidP="00023DDC">
      <w:pPr>
        <w:pStyle w:val="SingleTxtG"/>
        <w:rPr>
          <w:rFonts w:eastAsia="SimSun"/>
          <w:color w:val="000000"/>
          <w:lang w:eastAsia="zh-CN"/>
        </w:rPr>
      </w:pPr>
      <w:r w:rsidRPr="00B2489C">
        <w:rPr>
          <w:rFonts w:eastAsia="SimSun"/>
          <w:color w:val="000000"/>
          <w:lang w:eastAsia="zh-CN"/>
        </w:rPr>
        <w:t>7</w:t>
      </w:r>
      <w:r>
        <w:rPr>
          <w:rFonts w:eastAsia="SimSun"/>
          <w:color w:val="000000"/>
          <w:lang w:eastAsia="zh-CN"/>
        </w:rPr>
        <w:t>5</w:t>
      </w:r>
      <w:r w:rsidRPr="00B2489C">
        <w:rPr>
          <w:rFonts w:eastAsia="SimSun"/>
          <w:color w:val="000000"/>
          <w:lang w:eastAsia="zh-CN"/>
        </w:rPr>
        <w:t>.</w:t>
      </w:r>
      <w:r w:rsidRPr="00B2489C">
        <w:rPr>
          <w:rFonts w:eastAsia="SimSun"/>
          <w:color w:val="000000"/>
          <w:lang w:eastAsia="zh-CN"/>
        </w:rPr>
        <w:tab/>
        <w:t xml:space="preserve">National </w:t>
      </w:r>
      <w:r w:rsidR="00217544" w:rsidRPr="00B2489C">
        <w:rPr>
          <w:rFonts w:eastAsia="SimSun"/>
          <w:color w:val="000000"/>
          <w:lang w:eastAsia="zh-CN"/>
        </w:rPr>
        <w:t xml:space="preserve">plans </w:t>
      </w:r>
      <w:r w:rsidR="00217544">
        <w:rPr>
          <w:rFonts w:eastAsia="SimSun"/>
          <w:color w:val="000000"/>
          <w:lang w:eastAsia="zh-CN"/>
        </w:rPr>
        <w:t xml:space="preserve">of </w:t>
      </w:r>
      <w:r w:rsidRPr="00B2489C">
        <w:rPr>
          <w:rFonts w:eastAsia="SimSun"/>
          <w:color w:val="000000"/>
          <w:lang w:eastAsia="zh-CN"/>
        </w:rPr>
        <w:t xml:space="preserve">action were developed to tackle discrimination against LGBT persons in Brazil, Canada (Quebec), France, Norway, South Africa and the United Kingdom, and, in Uruguay, a plan to combat </w:t>
      </w:r>
      <w:r w:rsidR="00217544">
        <w:rPr>
          <w:rFonts w:eastAsia="SimSun"/>
          <w:color w:val="000000"/>
          <w:lang w:eastAsia="zh-CN"/>
        </w:rPr>
        <w:t xml:space="preserve">the </w:t>
      </w:r>
      <w:r w:rsidRPr="00B2489C">
        <w:rPr>
          <w:rFonts w:eastAsia="SimSun"/>
          <w:color w:val="000000"/>
          <w:lang w:eastAsia="zh-CN"/>
        </w:rPr>
        <w:t>social exclusion of trans</w:t>
      </w:r>
      <w:r>
        <w:rPr>
          <w:rFonts w:eastAsia="SimSun"/>
          <w:color w:val="000000"/>
          <w:lang w:eastAsia="zh-CN"/>
        </w:rPr>
        <w:t>gender</w:t>
      </w:r>
      <w:r w:rsidRPr="00B2489C">
        <w:rPr>
          <w:rFonts w:eastAsia="SimSun"/>
          <w:color w:val="000000"/>
          <w:lang w:eastAsia="zh-CN"/>
        </w:rPr>
        <w:t xml:space="preserve"> persons. Several </w:t>
      </w:r>
      <w:r w:rsidR="00217544">
        <w:rPr>
          <w:rFonts w:eastAsia="SimSun"/>
          <w:color w:val="000000"/>
          <w:lang w:eastAsia="zh-CN"/>
        </w:rPr>
        <w:t>States</w:t>
      </w:r>
      <w:r w:rsidR="00217544" w:rsidRPr="00B2489C">
        <w:rPr>
          <w:rFonts w:eastAsia="SimSun"/>
          <w:color w:val="000000"/>
          <w:lang w:eastAsia="zh-CN"/>
        </w:rPr>
        <w:t xml:space="preserve"> </w:t>
      </w:r>
      <w:r w:rsidRPr="00B2489C">
        <w:rPr>
          <w:rFonts w:eastAsia="SimSun"/>
          <w:color w:val="000000"/>
          <w:lang w:eastAsia="zh-CN"/>
        </w:rPr>
        <w:t xml:space="preserve">also launched national public education campaigns to counter </w:t>
      </w:r>
      <w:r>
        <w:rPr>
          <w:rFonts w:eastAsia="SimSun"/>
          <w:color w:val="000000"/>
          <w:lang w:eastAsia="zh-CN"/>
        </w:rPr>
        <w:t>homophobia and transphobia</w:t>
      </w:r>
      <w:r w:rsidRPr="00B2489C">
        <w:rPr>
          <w:rFonts w:eastAsia="SimSun"/>
          <w:color w:val="000000"/>
          <w:lang w:eastAsia="zh-CN"/>
        </w:rPr>
        <w:t xml:space="preserve"> (Argentina, Australia, Belgium (Flanders), Brazil, Colombia, Cuba, Montenegro, Serbia, South Africa, United Kingdom, Uruguay). Mexico has officially designated 17 May as </w:t>
      </w:r>
      <w:r w:rsidR="00217544">
        <w:rPr>
          <w:rFonts w:eastAsia="SimSun"/>
          <w:color w:val="000000"/>
          <w:lang w:eastAsia="zh-CN"/>
        </w:rPr>
        <w:t>the</w:t>
      </w:r>
      <w:r w:rsidR="00217544" w:rsidRPr="00B2489C">
        <w:rPr>
          <w:rFonts w:eastAsia="SimSun"/>
          <w:color w:val="000000"/>
          <w:lang w:eastAsia="zh-CN"/>
        </w:rPr>
        <w:t xml:space="preserve"> </w:t>
      </w:r>
      <w:r w:rsidRPr="00B2489C">
        <w:rPr>
          <w:rFonts w:eastAsia="SimSun"/>
          <w:color w:val="000000"/>
          <w:lang w:eastAsia="zh-CN"/>
        </w:rPr>
        <w:t xml:space="preserve">National Day against Homophobia. </w:t>
      </w:r>
    </w:p>
    <w:p w:rsidR="00E759E1" w:rsidRPr="00B2489C" w:rsidRDefault="00E759E1" w:rsidP="00023DDC">
      <w:pPr>
        <w:pStyle w:val="HChG"/>
        <w:spacing w:line="240" w:lineRule="atLeast"/>
        <w:rPr>
          <w:lang w:eastAsia="zh-CN"/>
        </w:rPr>
      </w:pPr>
      <w:r>
        <w:rPr>
          <w:lang w:eastAsia="zh-CN"/>
        </w:rPr>
        <w:lastRenderedPageBreak/>
        <w:tab/>
        <w:t>VI.</w:t>
      </w:r>
      <w:r>
        <w:rPr>
          <w:lang w:eastAsia="zh-CN"/>
        </w:rPr>
        <w:tab/>
      </w:r>
      <w:r w:rsidRPr="00B2489C">
        <w:rPr>
          <w:lang w:eastAsia="zh-CN"/>
        </w:rPr>
        <w:t>Conclusions and recommendations</w:t>
      </w:r>
    </w:p>
    <w:p w:rsidR="00E759E1" w:rsidRDefault="00E759E1" w:rsidP="00023DDC">
      <w:pPr>
        <w:pStyle w:val="SingleTxtG"/>
        <w:rPr>
          <w:rFonts w:eastAsia="SimSun"/>
          <w:b/>
          <w:lang w:eastAsia="zh-CN"/>
        </w:rPr>
      </w:pPr>
      <w:r w:rsidRPr="0035771E">
        <w:rPr>
          <w:rFonts w:eastAsia="SimSun"/>
          <w:lang w:eastAsia="zh-CN"/>
        </w:rPr>
        <w:t>76.</w:t>
      </w:r>
      <w:r w:rsidRPr="00A52A47">
        <w:rPr>
          <w:rFonts w:eastAsia="SimSun"/>
          <w:b/>
          <w:lang w:eastAsia="zh-CN"/>
        </w:rPr>
        <w:tab/>
        <w:t>Th</w:t>
      </w:r>
      <w:r>
        <w:rPr>
          <w:rFonts w:eastAsia="SimSun"/>
          <w:b/>
          <w:lang w:eastAsia="zh-CN"/>
        </w:rPr>
        <w:t>e present study</w:t>
      </w:r>
      <w:r w:rsidRPr="00A52A47">
        <w:rPr>
          <w:rFonts w:eastAsia="SimSun"/>
          <w:b/>
          <w:lang w:eastAsia="zh-CN"/>
        </w:rPr>
        <w:t xml:space="preserve"> is the second on violence and discrimination based on sexual orientation and gender identity </w:t>
      </w:r>
      <w:r>
        <w:rPr>
          <w:rFonts w:eastAsia="SimSun"/>
          <w:b/>
          <w:lang w:eastAsia="zh-CN"/>
        </w:rPr>
        <w:t>requested</w:t>
      </w:r>
      <w:r w:rsidRPr="00A52A47">
        <w:rPr>
          <w:rFonts w:eastAsia="SimSun"/>
          <w:b/>
          <w:lang w:eastAsia="zh-CN"/>
        </w:rPr>
        <w:t xml:space="preserve"> by the Human Rights Council. While some progress has been made since the first study in 2011, the overall picture remains one of continuing, pervasive</w:t>
      </w:r>
      <w:r>
        <w:rPr>
          <w:rFonts w:eastAsia="SimSun"/>
          <w:b/>
          <w:lang w:eastAsia="zh-CN"/>
        </w:rPr>
        <w:t>,</w:t>
      </w:r>
      <w:r w:rsidRPr="00A52A47">
        <w:rPr>
          <w:rFonts w:eastAsia="SimSun"/>
          <w:b/>
          <w:lang w:eastAsia="zh-CN"/>
        </w:rPr>
        <w:t xml:space="preserve"> violent abuse, harassment and discrimination affecting LGBT and intersex persons in all regions. </w:t>
      </w:r>
      <w:r w:rsidRPr="00CD4B03">
        <w:rPr>
          <w:rFonts w:eastAsia="SimSun"/>
          <w:b/>
          <w:lang w:eastAsia="zh-CN"/>
        </w:rPr>
        <w:t>These constitute serious human rights violations, often perpetrated with impunity, indicating that current arrangements to protect the human rights of LGBT and intersex pe</w:t>
      </w:r>
      <w:r>
        <w:rPr>
          <w:rFonts w:eastAsia="SimSun"/>
          <w:b/>
          <w:lang w:eastAsia="zh-CN"/>
        </w:rPr>
        <w:t>rsons</w:t>
      </w:r>
      <w:r w:rsidRPr="00CD4B03">
        <w:rPr>
          <w:rFonts w:eastAsia="SimSun"/>
          <w:b/>
          <w:lang w:eastAsia="zh-CN"/>
        </w:rPr>
        <w:t xml:space="preserve"> are inadequate. There is as yet no dedicated human rights mechanism at the international level that has a systematic and comprehensive approach to the human rights situation of LGBT and intersex persons. </w:t>
      </w:r>
    </w:p>
    <w:p w:rsidR="00E759E1" w:rsidRPr="00A52A47" w:rsidRDefault="00E759E1" w:rsidP="00023DDC">
      <w:pPr>
        <w:pStyle w:val="SingleTxtG"/>
        <w:rPr>
          <w:rFonts w:eastAsia="SimSun"/>
          <w:b/>
          <w:lang w:eastAsia="zh-CN"/>
        </w:rPr>
      </w:pPr>
      <w:r w:rsidRPr="0035771E">
        <w:rPr>
          <w:rFonts w:eastAsia="SimSun"/>
          <w:lang w:eastAsia="zh-CN"/>
        </w:rPr>
        <w:t>77.</w:t>
      </w:r>
      <w:r w:rsidRPr="00A52A47">
        <w:rPr>
          <w:rFonts w:eastAsia="SimSun"/>
          <w:b/>
          <w:lang w:eastAsia="zh-CN"/>
        </w:rPr>
        <w:tab/>
        <w:t xml:space="preserve">The recommendations below describe measures to protect </w:t>
      </w:r>
      <w:r>
        <w:rPr>
          <w:rFonts w:eastAsia="SimSun"/>
          <w:b/>
          <w:lang w:eastAsia="zh-CN"/>
        </w:rPr>
        <w:t xml:space="preserve">individuals </w:t>
      </w:r>
      <w:r w:rsidRPr="00A52A47">
        <w:rPr>
          <w:rFonts w:eastAsia="SimSun"/>
          <w:b/>
          <w:lang w:eastAsia="zh-CN"/>
        </w:rPr>
        <w:t xml:space="preserve">from the kinds of human rights violations documented </w:t>
      </w:r>
      <w:r w:rsidR="00217544">
        <w:rPr>
          <w:rFonts w:eastAsia="SimSun"/>
          <w:b/>
          <w:lang w:eastAsia="zh-CN"/>
        </w:rPr>
        <w:t>above</w:t>
      </w:r>
      <w:r w:rsidRPr="00A52A47">
        <w:rPr>
          <w:rFonts w:eastAsia="SimSun"/>
          <w:b/>
          <w:lang w:eastAsia="zh-CN"/>
        </w:rPr>
        <w:t xml:space="preserve">. They draw from good practices observed in the course of compiling the report and recommendations of United Nations human rights mechanisms. </w:t>
      </w:r>
    </w:p>
    <w:p w:rsidR="00E759E1" w:rsidRPr="00812B33" w:rsidRDefault="00E759E1" w:rsidP="00023DDC">
      <w:pPr>
        <w:pStyle w:val="H1G"/>
        <w:spacing w:line="240" w:lineRule="atLeast"/>
      </w:pPr>
      <w:r w:rsidRPr="00A52A47">
        <w:rPr>
          <w:lang w:eastAsia="zh-CN"/>
        </w:rPr>
        <w:tab/>
      </w:r>
      <w:r w:rsidRPr="00812B33">
        <w:t>A.</w:t>
      </w:r>
      <w:r w:rsidRPr="00812B33">
        <w:tab/>
        <w:t>States</w:t>
      </w:r>
      <w:r w:rsidRPr="00812B33">
        <w:rPr>
          <w:rFonts w:eastAsia="SimSun"/>
        </w:rPr>
        <w:tab/>
      </w:r>
    </w:p>
    <w:p w:rsidR="00E759E1" w:rsidRPr="00A52A47" w:rsidRDefault="00E759E1" w:rsidP="00023DDC">
      <w:pPr>
        <w:pStyle w:val="SingleTxtG"/>
        <w:rPr>
          <w:rFonts w:eastAsia="SimSun"/>
          <w:b/>
          <w:lang w:eastAsia="zh-CN"/>
        </w:rPr>
      </w:pPr>
      <w:r w:rsidRPr="0035771E">
        <w:rPr>
          <w:rFonts w:eastAsia="SimSun"/>
          <w:lang w:eastAsia="zh-CN"/>
        </w:rPr>
        <w:t>78.</w:t>
      </w:r>
      <w:r w:rsidRPr="00A52A47">
        <w:rPr>
          <w:rFonts w:eastAsia="SimSun"/>
          <w:b/>
          <w:lang w:eastAsia="zh-CN"/>
        </w:rPr>
        <w:tab/>
      </w:r>
      <w:r w:rsidR="00217544">
        <w:rPr>
          <w:rFonts w:eastAsia="SimSun"/>
          <w:b/>
          <w:lang w:eastAsia="zh-CN"/>
        </w:rPr>
        <w:t xml:space="preserve">The High Commissioner recommends </w:t>
      </w:r>
      <w:r w:rsidR="009139C3">
        <w:rPr>
          <w:rFonts w:eastAsia="SimSun"/>
          <w:b/>
          <w:lang w:eastAsia="zh-CN"/>
        </w:rPr>
        <w:t>that States a</w:t>
      </w:r>
      <w:r w:rsidRPr="00A52A47">
        <w:rPr>
          <w:rFonts w:eastAsia="SimSun"/>
          <w:b/>
          <w:lang w:eastAsia="zh-CN"/>
        </w:rPr>
        <w:t>ddress violence</w:t>
      </w:r>
      <w:r w:rsidR="009139C3">
        <w:rPr>
          <w:rFonts w:eastAsia="SimSun"/>
          <w:b/>
          <w:lang w:eastAsia="zh-CN"/>
        </w:rPr>
        <w:t xml:space="preserve"> by</w:t>
      </w:r>
      <w:r w:rsidRPr="00A52A47">
        <w:rPr>
          <w:rFonts w:eastAsia="SimSun"/>
          <w:b/>
          <w:lang w:eastAsia="zh-CN"/>
        </w:rPr>
        <w:t>:</w:t>
      </w:r>
    </w:p>
    <w:p w:rsidR="00E759E1" w:rsidRPr="00A52A47" w:rsidRDefault="00E759E1" w:rsidP="00023DDC">
      <w:pPr>
        <w:pStyle w:val="SingleTxtG"/>
        <w:ind w:firstLine="567"/>
        <w:rPr>
          <w:rFonts w:eastAsia="SimSun"/>
          <w:b/>
          <w:lang w:eastAsia="zh-CN"/>
        </w:rPr>
      </w:pPr>
      <w:r w:rsidRPr="0035771E">
        <w:rPr>
          <w:rFonts w:eastAsia="SimSun"/>
          <w:b/>
          <w:lang w:eastAsia="zh-CN"/>
        </w:rPr>
        <w:t>(a)</w:t>
      </w:r>
      <w:r w:rsidRPr="00A52A47">
        <w:rPr>
          <w:rFonts w:eastAsia="SimSun"/>
          <w:b/>
          <w:lang w:eastAsia="zh-CN"/>
        </w:rPr>
        <w:tab/>
        <w:t>Enact</w:t>
      </w:r>
      <w:r w:rsidR="009139C3">
        <w:rPr>
          <w:rFonts w:eastAsia="SimSun"/>
          <w:b/>
          <w:lang w:eastAsia="zh-CN"/>
        </w:rPr>
        <w:t>ing</w:t>
      </w:r>
      <w:r w:rsidRPr="00A52A47">
        <w:rPr>
          <w:rFonts w:eastAsia="SimSun"/>
          <w:b/>
          <w:lang w:eastAsia="zh-CN"/>
        </w:rPr>
        <w:t xml:space="preserve"> hate crime laws that establish homophobia and transphobia as aggravating factors for purposes of sentencing</w:t>
      </w:r>
      <w:r w:rsidR="009139C3">
        <w:rPr>
          <w:rFonts w:eastAsia="SimSun"/>
          <w:b/>
          <w:lang w:eastAsia="zh-CN"/>
        </w:rPr>
        <w:t>;</w:t>
      </w:r>
    </w:p>
    <w:p w:rsidR="00E759E1" w:rsidRPr="00A52A47" w:rsidRDefault="00E759E1" w:rsidP="00023DDC">
      <w:pPr>
        <w:pStyle w:val="SingleTxtG"/>
        <w:ind w:firstLine="567"/>
        <w:rPr>
          <w:rFonts w:eastAsia="SimSun"/>
          <w:b/>
          <w:lang w:eastAsia="zh-CN"/>
        </w:rPr>
      </w:pPr>
      <w:r w:rsidRPr="0035771E">
        <w:rPr>
          <w:rFonts w:eastAsia="SimSun"/>
          <w:b/>
          <w:lang w:eastAsia="zh-CN"/>
        </w:rPr>
        <w:t>(b)</w:t>
      </w:r>
      <w:r w:rsidRPr="00A52A47">
        <w:rPr>
          <w:rFonts w:eastAsia="SimSun"/>
          <w:b/>
          <w:lang w:eastAsia="zh-CN"/>
        </w:rPr>
        <w:tab/>
        <w:t>Conduct</w:t>
      </w:r>
      <w:r w:rsidR="009139C3">
        <w:rPr>
          <w:rFonts w:eastAsia="SimSun"/>
          <w:b/>
          <w:lang w:eastAsia="zh-CN"/>
        </w:rPr>
        <w:t>ing</w:t>
      </w:r>
      <w:r w:rsidRPr="00A52A47">
        <w:rPr>
          <w:rFonts w:eastAsia="SimSun"/>
          <w:b/>
          <w:lang w:eastAsia="zh-CN"/>
        </w:rPr>
        <w:t xml:space="preserve"> prompt, thorough investigations of incidents of hate-motivated violence </w:t>
      </w:r>
      <w:r w:rsidR="009139C3" w:rsidRPr="00A52A47">
        <w:rPr>
          <w:rFonts w:eastAsia="SimSun"/>
          <w:b/>
          <w:lang w:eastAsia="zh-CN"/>
        </w:rPr>
        <w:t xml:space="preserve">against </w:t>
      </w:r>
      <w:r w:rsidRPr="00A52A47">
        <w:rPr>
          <w:rFonts w:eastAsia="SimSun"/>
          <w:b/>
          <w:lang w:eastAsia="zh-CN"/>
        </w:rPr>
        <w:t>and torture</w:t>
      </w:r>
      <w:r w:rsidR="009139C3">
        <w:rPr>
          <w:rFonts w:eastAsia="SimSun"/>
          <w:b/>
          <w:lang w:eastAsia="zh-CN"/>
        </w:rPr>
        <w:t xml:space="preserve"> of</w:t>
      </w:r>
      <w:r w:rsidRPr="00A52A47">
        <w:rPr>
          <w:rFonts w:eastAsia="SimSun"/>
          <w:b/>
          <w:lang w:eastAsia="zh-CN"/>
        </w:rPr>
        <w:t xml:space="preserve"> LGBT persons, holding perpetrators to account, and providing redress to victims</w:t>
      </w:r>
      <w:r w:rsidR="009139C3">
        <w:rPr>
          <w:rFonts w:eastAsia="SimSun"/>
          <w:b/>
          <w:lang w:eastAsia="zh-CN"/>
        </w:rPr>
        <w:t>;</w:t>
      </w:r>
    </w:p>
    <w:p w:rsidR="00E759E1" w:rsidRPr="00A52A47" w:rsidRDefault="00E759E1" w:rsidP="00023DDC">
      <w:pPr>
        <w:pStyle w:val="SingleTxtG"/>
        <w:ind w:firstLine="567"/>
        <w:rPr>
          <w:rFonts w:eastAsia="SimSun"/>
          <w:b/>
          <w:lang w:eastAsia="zh-CN"/>
        </w:rPr>
      </w:pPr>
      <w:r w:rsidRPr="0035771E">
        <w:rPr>
          <w:rFonts w:eastAsia="SimSun"/>
          <w:b/>
          <w:lang w:eastAsia="zh-CN"/>
        </w:rPr>
        <w:t>(c)</w:t>
      </w:r>
      <w:r w:rsidRPr="00A52A47">
        <w:rPr>
          <w:rFonts w:eastAsia="SimSun"/>
          <w:b/>
          <w:lang w:eastAsia="zh-CN"/>
        </w:rPr>
        <w:tab/>
        <w:t>Collect</w:t>
      </w:r>
      <w:r w:rsidR="009139C3">
        <w:rPr>
          <w:rFonts w:eastAsia="SimSun"/>
          <w:b/>
          <w:lang w:eastAsia="zh-CN"/>
        </w:rPr>
        <w:t>ing</w:t>
      </w:r>
      <w:r w:rsidRPr="00A52A47">
        <w:rPr>
          <w:rFonts w:eastAsia="SimSun"/>
          <w:b/>
          <w:lang w:eastAsia="zh-CN"/>
        </w:rPr>
        <w:t xml:space="preserve"> and publish</w:t>
      </w:r>
      <w:r w:rsidR="009139C3">
        <w:rPr>
          <w:rFonts w:eastAsia="SimSun"/>
          <w:b/>
          <w:lang w:eastAsia="zh-CN"/>
        </w:rPr>
        <w:t>ing</w:t>
      </w:r>
      <w:r w:rsidRPr="00A52A47">
        <w:rPr>
          <w:rFonts w:eastAsia="SimSun"/>
          <w:b/>
          <w:lang w:eastAsia="zh-CN"/>
        </w:rPr>
        <w:t xml:space="preserve"> data on the number and types of incidents, while providing for </w:t>
      </w:r>
      <w:r w:rsidR="009139C3">
        <w:rPr>
          <w:rFonts w:eastAsia="SimSun"/>
          <w:b/>
          <w:lang w:eastAsia="zh-CN"/>
        </w:rPr>
        <w:t xml:space="preserve">the </w:t>
      </w:r>
      <w:r w:rsidRPr="00A52A47">
        <w:rPr>
          <w:rFonts w:eastAsia="SimSun"/>
          <w:b/>
          <w:lang w:eastAsia="zh-CN"/>
        </w:rPr>
        <w:t>security of those reporting</w:t>
      </w:r>
      <w:r w:rsidR="009139C3">
        <w:rPr>
          <w:rFonts w:eastAsia="SimSun"/>
          <w:b/>
          <w:lang w:eastAsia="zh-CN"/>
        </w:rPr>
        <w:t>;</w:t>
      </w:r>
      <w:r w:rsidRPr="00A52A47">
        <w:rPr>
          <w:rFonts w:eastAsia="SimSun"/>
          <w:b/>
          <w:lang w:eastAsia="zh-CN"/>
        </w:rPr>
        <w:t xml:space="preserve"> </w:t>
      </w:r>
    </w:p>
    <w:p w:rsidR="00E759E1" w:rsidRPr="00A52A47" w:rsidRDefault="00E759E1" w:rsidP="00023DDC">
      <w:pPr>
        <w:pStyle w:val="SingleTxtG"/>
        <w:ind w:firstLine="567"/>
        <w:rPr>
          <w:rFonts w:eastAsia="SimSun"/>
          <w:b/>
          <w:lang w:eastAsia="zh-CN"/>
        </w:rPr>
      </w:pPr>
      <w:r w:rsidRPr="0035771E">
        <w:rPr>
          <w:rFonts w:eastAsia="SimSun"/>
          <w:b/>
          <w:color w:val="000000"/>
          <w:lang w:eastAsia="zh-CN"/>
        </w:rPr>
        <w:t>(d)</w:t>
      </w:r>
      <w:r w:rsidRPr="00A52A47">
        <w:rPr>
          <w:rFonts w:eastAsia="SimSun"/>
          <w:b/>
          <w:color w:val="000000"/>
          <w:lang w:eastAsia="zh-CN"/>
        </w:rPr>
        <w:tab/>
        <w:t>Prohibit</w:t>
      </w:r>
      <w:r w:rsidR="009139C3">
        <w:rPr>
          <w:rFonts w:eastAsia="SimSun"/>
          <w:b/>
          <w:color w:val="000000"/>
          <w:lang w:eastAsia="zh-CN"/>
        </w:rPr>
        <w:t>ing</w:t>
      </w:r>
      <w:r w:rsidRPr="00A52A47">
        <w:rPr>
          <w:rFonts w:eastAsia="SimSun"/>
          <w:b/>
          <w:color w:val="000000"/>
          <w:lang w:eastAsia="zh-CN"/>
        </w:rPr>
        <w:t xml:space="preserve"> incitement of hatred and violence on </w:t>
      </w:r>
      <w:r w:rsidR="009139C3">
        <w:rPr>
          <w:rFonts w:eastAsia="SimSun"/>
          <w:b/>
          <w:color w:val="000000"/>
          <w:lang w:eastAsia="zh-CN"/>
        </w:rPr>
        <w:t xml:space="preserve">the </w:t>
      </w:r>
      <w:r w:rsidRPr="00A52A47">
        <w:rPr>
          <w:rFonts w:eastAsia="SimSun"/>
          <w:b/>
          <w:color w:val="000000"/>
          <w:lang w:eastAsia="zh-CN"/>
        </w:rPr>
        <w:t>grounds of sexual orientation and gender identity, and hold</w:t>
      </w:r>
      <w:r w:rsidR="009139C3">
        <w:rPr>
          <w:rFonts w:eastAsia="SimSun"/>
          <w:b/>
          <w:color w:val="000000"/>
          <w:lang w:eastAsia="zh-CN"/>
        </w:rPr>
        <w:t>ing</w:t>
      </w:r>
      <w:r w:rsidRPr="00A52A47">
        <w:rPr>
          <w:rFonts w:eastAsia="SimSun"/>
          <w:b/>
          <w:color w:val="000000"/>
          <w:lang w:eastAsia="zh-CN"/>
        </w:rPr>
        <w:t xml:space="preserve"> to account those responsible for related hate speech</w:t>
      </w:r>
      <w:r w:rsidR="009139C3">
        <w:rPr>
          <w:rFonts w:eastAsia="SimSun"/>
          <w:b/>
          <w:color w:val="000000"/>
          <w:lang w:eastAsia="zh-CN"/>
        </w:rPr>
        <w:t>;</w:t>
      </w:r>
      <w:r w:rsidRPr="00A52A47">
        <w:rPr>
          <w:rFonts w:eastAsia="SimSun"/>
          <w:b/>
          <w:color w:val="000000"/>
          <w:lang w:eastAsia="zh-CN"/>
        </w:rPr>
        <w:t xml:space="preserve"> </w:t>
      </w:r>
    </w:p>
    <w:p w:rsidR="00E759E1" w:rsidRPr="00A52A47" w:rsidRDefault="00E759E1" w:rsidP="00023DDC">
      <w:pPr>
        <w:pStyle w:val="SingleTxtG"/>
        <w:ind w:firstLine="567"/>
        <w:rPr>
          <w:rFonts w:eastAsia="SimSun"/>
          <w:b/>
          <w:lang w:eastAsia="zh-CN"/>
        </w:rPr>
      </w:pPr>
      <w:r w:rsidRPr="0035771E">
        <w:rPr>
          <w:rFonts w:eastAsia="SimSun"/>
          <w:b/>
          <w:lang w:eastAsia="zh-CN"/>
        </w:rPr>
        <w:t>(e)</w:t>
      </w:r>
      <w:r w:rsidRPr="00A52A47">
        <w:rPr>
          <w:rFonts w:eastAsia="SimSun"/>
          <w:b/>
          <w:lang w:eastAsia="zh-CN"/>
        </w:rPr>
        <w:tab/>
        <w:t>Train</w:t>
      </w:r>
      <w:r w:rsidR="009139C3">
        <w:rPr>
          <w:rFonts w:eastAsia="SimSun"/>
          <w:b/>
          <w:lang w:eastAsia="zh-CN"/>
        </w:rPr>
        <w:t>ing</w:t>
      </w:r>
      <w:r w:rsidRPr="00A52A47">
        <w:rPr>
          <w:rFonts w:eastAsia="SimSun"/>
          <w:b/>
          <w:lang w:eastAsia="zh-CN"/>
        </w:rPr>
        <w:t xml:space="preserve"> law enforcement personnel and judges in gender-sensitive approaches to addressing violations related to sexual orientation and gender identity</w:t>
      </w:r>
      <w:r w:rsidR="009139C3">
        <w:rPr>
          <w:rFonts w:eastAsia="SimSun"/>
          <w:b/>
          <w:lang w:eastAsia="zh-CN"/>
        </w:rPr>
        <w:t>;</w:t>
      </w:r>
      <w:r w:rsidRPr="00A52A47">
        <w:rPr>
          <w:rFonts w:eastAsia="SimSun"/>
          <w:b/>
          <w:lang w:eastAsia="zh-CN"/>
        </w:rPr>
        <w:t xml:space="preserve"> </w:t>
      </w:r>
    </w:p>
    <w:p w:rsidR="00E759E1" w:rsidRPr="00A52A47" w:rsidRDefault="00E759E1" w:rsidP="00023DDC">
      <w:pPr>
        <w:pStyle w:val="SingleTxtG"/>
        <w:ind w:firstLine="567"/>
        <w:rPr>
          <w:rFonts w:eastAsia="SimSun"/>
          <w:b/>
          <w:lang w:eastAsia="zh-CN"/>
        </w:rPr>
      </w:pPr>
      <w:r w:rsidRPr="0035771E">
        <w:rPr>
          <w:rFonts w:eastAsia="SimSun"/>
          <w:b/>
          <w:lang w:eastAsia="zh-CN"/>
        </w:rPr>
        <w:t>(f)</w:t>
      </w:r>
      <w:r w:rsidRPr="00A52A47">
        <w:rPr>
          <w:rFonts w:eastAsia="SimSun"/>
          <w:b/>
          <w:lang w:eastAsia="zh-CN"/>
        </w:rPr>
        <w:tab/>
        <w:t>Ensur</w:t>
      </w:r>
      <w:r w:rsidR="009139C3">
        <w:rPr>
          <w:rFonts w:eastAsia="SimSun"/>
          <w:b/>
          <w:lang w:eastAsia="zh-CN"/>
        </w:rPr>
        <w:t>ing that</w:t>
      </w:r>
      <w:r w:rsidRPr="00A52A47">
        <w:rPr>
          <w:rFonts w:eastAsia="SimSun"/>
          <w:b/>
          <w:lang w:eastAsia="zh-CN"/>
        </w:rPr>
        <w:t xml:space="preserve"> police and prison officers are trained to protect the safety of LGBT detainees</w:t>
      </w:r>
      <w:r w:rsidR="009139C3">
        <w:rPr>
          <w:rFonts w:eastAsia="SimSun"/>
          <w:b/>
          <w:lang w:eastAsia="zh-CN"/>
        </w:rPr>
        <w:t>,</w:t>
      </w:r>
      <w:r w:rsidRPr="00A52A47">
        <w:rPr>
          <w:rFonts w:eastAsia="SimSun"/>
          <w:b/>
          <w:lang w:eastAsia="zh-CN"/>
        </w:rPr>
        <w:t xml:space="preserve"> and hold</w:t>
      </w:r>
      <w:r w:rsidR="009139C3">
        <w:rPr>
          <w:rFonts w:eastAsia="SimSun"/>
          <w:b/>
          <w:lang w:eastAsia="zh-CN"/>
        </w:rPr>
        <w:t>ing</w:t>
      </w:r>
      <w:r w:rsidRPr="00A52A47">
        <w:rPr>
          <w:rFonts w:eastAsia="SimSun"/>
          <w:b/>
          <w:lang w:eastAsia="zh-CN"/>
        </w:rPr>
        <w:t xml:space="preserve"> to account State officials involved or complicit in incidents of violence</w:t>
      </w:r>
      <w:r w:rsidR="009139C3">
        <w:rPr>
          <w:rFonts w:eastAsia="SimSun"/>
          <w:b/>
          <w:lang w:eastAsia="zh-CN"/>
        </w:rPr>
        <w:t>;</w:t>
      </w:r>
      <w:r w:rsidRPr="00A52A47">
        <w:rPr>
          <w:rFonts w:eastAsia="SimSun"/>
          <w:b/>
          <w:lang w:eastAsia="zh-CN"/>
        </w:rPr>
        <w:t xml:space="preserve"> </w:t>
      </w:r>
    </w:p>
    <w:p w:rsidR="00E759E1" w:rsidRPr="00A52A47" w:rsidRDefault="00E759E1" w:rsidP="00023DDC">
      <w:pPr>
        <w:pStyle w:val="SingleTxtG"/>
        <w:ind w:firstLine="567"/>
        <w:rPr>
          <w:rFonts w:eastAsia="SimSun"/>
          <w:b/>
          <w:lang w:eastAsia="zh-CN"/>
        </w:rPr>
      </w:pPr>
      <w:r w:rsidRPr="0035771E">
        <w:rPr>
          <w:rFonts w:eastAsia="SimSun"/>
          <w:b/>
          <w:lang w:eastAsia="zh-CN"/>
        </w:rPr>
        <w:t>(g)</w:t>
      </w:r>
      <w:r w:rsidRPr="00A52A47">
        <w:rPr>
          <w:rFonts w:eastAsia="SimSun"/>
          <w:b/>
          <w:lang w:eastAsia="zh-CN"/>
        </w:rPr>
        <w:tab/>
        <w:t>Ban</w:t>
      </w:r>
      <w:r w:rsidR="009139C3">
        <w:rPr>
          <w:rFonts w:eastAsia="SimSun"/>
          <w:b/>
          <w:lang w:eastAsia="zh-CN"/>
        </w:rPr>
        <w:t>ning</w:t>
      </w:r>
      <w:r w:rsidRPr="00A52A47">
        <w:rPr>
          <w:rFonts w:eastAsia="SimSun"/>
          <w:b/>
          <w:lang w:eastAsia="zh-CN"/>
        </w:rPr>
        <w:t xml:space="preserve"> “conversion” therapy, involuntary treatment, forced sterilization</w:t>
      </w:r>
      <w:r w:rsidR="009139C3">
        <w:rPr>
          <w:rFonts w:eastAsia="SimSun"/>
          <w:b/>
          <w:lang w:eastAsia="zh-CN"/>
        </w:rPr>
        <w:t xml:space="preserve"> and</w:t>
      </w:r>
      <w:r w:rsidRPr="00A52A47">
        <w:rPr>
          <w:rFonts w:eastAsia="SimSun"/>
          <w:b/>
          <w:lang w:eastAsia="zh-CN"/>
        </w:rPr>
        <w:t xml:space="preserve"> forced genital and anal examinations</w:t>
      </w:r>
      <w:r w:rsidR="009139C3">
        <w:rPr>
          <w:rFonts w:eastAsia="SimSun"/>
          <w:b/>
          <w:lang w:eastAsia="zh-CN"/>
        </w:rPr>
        <w:t>;</w:t>
      </w:r>
    </w:p>
    <w:p w:rsidR="00E759E1" w:rsidRPr="00A52A47" w:rsidRDefault="00E759E1" w:rsidP="00023DDC">
      <w:pPr>
        <w:pStyle w:val="SingleTxtG"/>
        <w:ind w:firstLine="567"/>
        <w:rPr>
          <w:rFonts w:eastAsia="SimSun"/>
          <w:b/>
          <w:lang w:eastAsia="zh-CN"/>
        </w:rPr>
      </w:pPr>
      <w:r w:rsidRPr="0035771E">
        <w:rPr>
          <w:rFonts w:eastAsia="SimSun"/>
          <w:b/>
          <w:lang w:eastAsia="zh-CN"/>
        </w:rPr>
        <w:t>(h)</w:t>
      </w:r>
      <w:r w:rsidRPr="00A52A47">
        <w:rPr>
          <w:rFonts w:eastAsia="SimSun"/>
          <w:b/>
          <w:lang w:eastAsia="zh-CN"/>
        </w:rPr>
        <w:tab/>
        <w:t>Prohibit</w:t>
      </w:r>
      <w:r w:rsidR="009139C3">
        <w:rPr>
          <w:rFonts w:eastAsia="SimSun"/>
          <w:b/>
          <w:lang w:eastAsia="zh-CN"/>
        </w:rPr>
        <w:t>ing</w:t>
      </w:r>
      <w:r w:rsidRPr="00A52A47">
        <w:rPr>
          <w:rFonts w:eastAsia="SimSun"/>
          <w:b/>
          <w:lang w:eastAsia="zh-CN"/>
        </w:rPr>
        <w:t xml:space="preserve"> medically unnecessary procedures on intersex children</w:t>
      </w:r>
      <w:r w:rsidR="009139C3">
        <w:rPr>
          <w:rFonts w:eastAsia="SimSun"/>
          <w:b/>
          <w:lang w:eastAsia="zh-CN"/>
        </w:rPr>
        <w:t>;</w:t>
      </w:r>
    </w:p>
    <w:p w:rsidR="00E759E1" w:rsidRPr="00A52A47" w:rsidRDefault="00E759E1" w:rsidP="00023DDC">
      <w:pPr>
        <w:pStyle w:val="SingleTxtG"/>
        <w:ind w:firstLine="567"/>
        <w:rPr>
          <w:rFonts w:eastAsia="SimSun"/>
          <w:b/>
          <w:lang w:eastAsia="zh-CN"/>
        </w:rPr>
      </w:pPr>
      <w:r w:rsidRPr="0035771E">
        <w:rPr>
          <w:rFonts w:eastAsia="SimSun"/>
          <w:b/>
          <w:lang w:eastAsia="zh-CN"/>
        </w:rPr>
        <w:t>(i)</w:t>
      </w:r>
      <w:r w:rsidRPr="00A52A47">
        <w:rPr>
          <w:rFonts w:eastAsia="SimSun"/>
          <w:b/>
          <w:lang w:eastAsia="zh-CN"/>
        </w:rPr>
        <w:tab/>
      </w:r>
      <w:r w:rsidRPr="001D4706">
        <w:rPr>
          <w:rFonts w:eastAsia="SimSun"/>
          <w:b/>
          <w:lang w:eastAsia="zh-CN"/>
        </w:rPr>
        <w:t>Ensur</w:t>
      </w:r>
      <w:r w:rsidR="009139C3">
        <w:rPr>
          <w:rFonts w:eastAsia="SimSun"/>
          <w:b/>
          <w:lang w:eastAsia="zh-CN"/>
        </w:rPr>
        <w:t>ing</w:t>
      </w:r>
      <w:r w:rsidRPr="001D4706">
        <w:rPr>
          <w:rFonts w:eastAsia="SimSun"/>
          <w:b/>
          <w:lang w:eastAsia="zh-CN"/>
        </w:rPr>
        <w:t xml:space="preserve"> that no one fleeing persecution on grounds of sexual orientation or gender identity is returned to a territory where his or her life or freedom would be threatened, that asylum laws and policies recognize that persecution on account of sexual orientation or gender identity </w:t>
      </w:r>
      <w:r>
        <w:rPr>
          <w:rFonts w:eastAsia="SimSun"/>
          <w:b/>
          <w:lang w:eastAsia="zh-CN"/>
        </w:rPr>
        <w:t>may be</w:t>
      </w:r>
      <w:r w:rsidRPr="001D4706">
        <w:rPr>
          <w:rFonts w:eastAsia="SimSun"/>
          <w:b/>
          <w:lang w:eastAsia="zh-CN"/>
        </w:rPr>
        <w:t xml:space="preserve"> a valid basis for an asylum claim</w:t>
      </w:r>
      <w:r w:rsidR="009139C3">
        <w:rPr>
          <w:rFonts w:eastAsia="SimSun"/>
          <w:b/>
          <w:lang w:eastAsia="zh-CN"/>
        </w:rPr>
        <w:t>;</w:t>
      </w:r>
      <w:r>
        <w:rPr>
          <w:rFonts w:eastAsia="SimSun"/>
          <w:b/>
          <w:lang w:eastAsia="zh-CN"/>
        </w:rPr>
        <w:t xml:space="preserve"> </w:t>
      </w:r>
      <w:r w:rsidR="009139C3">
        <w:rPr>
          <w:rFonts w:eastAsia="SimSun"/>
          <w:b/>
          <w:lang w:eastAsia="zh-CN"/>
        </w:rPr>
        <w:t xml:space="preserve">and </w:t>
      </w:r>
      <w:r w:rsidRPr="00A52A47">
        <w:rPr>
          <w:rFonts w:eastAsia="SimSun"/>
          <w:b/>
          <w:lang w:eastAsia="zh-CN"/>
        </w:rPr>
        <w:t>eliminat</w:t>
      </w:r>
      <w:r w:rsidR="009139C3">
        <w:rPr>
          <w:rFonts w:eastAsia="SimSun"/>
          <w:b/>
          <w:lang w:eastAsia="zh-CN"/>
        </w:rPr>
        <w:t>ing</w:t>
      </w:r>
      <w:r w:rsidRPr="00A52A47">
        <w:rPr>
          <w:rFonts w:eastAsia="SimSun"/>
          <w:b/>
          <w:lang w:eastAsia="zh-CN"/>
        </w:rPr>
        <w:t xml:space="preserve"> intrusive, inappropriate questioning o</w:t>
      </w:r>
      <w:r w:rsidR="009139C3">
        <w:rPr>
          <w:rFonts w:eastAsia="SimSun"/>
          <w:b/>
          <w:lang w:eastAsia="zh-CN"/>
        </w:rPr>
        <w:t>n</w:t>
      </w:r>
      <w:r w:rsidRPr="00A52A47">
        <w:rPr>
          <w:rFonts w:eastAsia="SimSun"/>
          <w:b/>
          <w:lang w:eastAsia="zh-CN"/>
        </w:rPr>
        <w:t xml:space="preserve"> asylum applicants’ sexual histories</w:t>
      </w:r>
      <w:r w:rsidR="009139C3">
        <w:rPr>
          <w:rFonts w:eastAsia="SimSun"/>
          <w:b/>
          <w:lang w:eastAsia="zh-CN"/>
        </w:rPr>
        <w:t>,</w:t>
      </w:r>
      <w:r>
        <w:rPr>
          <w:rFonts w:eastAsia="SimSun"/>
          <w:b/>
          <w:lang w:eastAsia="zh-CN"/>
        </w:rPr>
        <w:t xml:space="preserve"> and</w:t>
      </w:r>
      <w:r w:rsidRPr="00A52A47">
        <w:rPr>
          <w:rFonts w:eastAsia="SimSun"/>
          <w:b/>
          <w:lang w:eastAsia="zh-CN"/>
        </w:rPr>
        <w:t xml:space="preserve"> sensitiz</w:t>
      </w:r>
      <w:r w:rsidR="009139C3">
        <w:rPr>
          <w:rFonts w:eastAsia="SimSun"/>
          <w:b/>
          <w:lang w:eastAsia="zh-CN"/>
        </w:rPr>
        <w:t>ing</w:t>
      </w:r>
      <w:r w:rsidRPr="00A52A47">
        <w:rPr>
          <w:rFonts w:eastAsia="SimSun"/>
          <w:b/>
          <w:lang w:eastAsia="zh-CN"/>
        </w:rPr>
        <w:t xml:space="preserve"> refugee and asylum personnel. </w:t>
      </w:r>
    </w:p>
    <w:p w:rsidR="00E759E1" w:rsidRPr="00A52A47" w:rsidRDefault="00E759E1" w:rsidP="00023DDC">
      <w:pPr>
        <w:pStyle w:val="SingleTxtG"/>
        <w:rPr>
          <w:rFonts w:eastAsia="SimSun"/>
          <w:b/>
          <w:szCs w:val="22"/>
          <w:lang w:eastAsia="zh-CN"/>
        </w:rPr>
      </w:pPr>
      <w:r w:rsidRPr="0035771E">
        <w:rPr>
          <w:rFonts w:eastAsia="SimSun"/>
          <w:szCs w:val="22"/>
          <w:lang w:eastAsia="zh-CN"/>
        </w:rPr>
        <w:t>79.</w:t>
      </w:r>
      <w:r w:rsidRPr="00A52A47">
        <w:rPr>
          <w:rFonts w:eastAsia="SimSun"/>
          <w:b/>
          <w:szCs w:val="22"/>
          <w:lang w:eastAsia="zh-CN"/>
        </w:rPr>
        <w:tab/>
      </w:r>
      <w:r w:rsidR="009139C3">
        <w:rPr>
          <w:rFonts w:eastAsia="SimSun"/>
          <w:b/>
          <w:szCs w:val="22"/>
          <w:lang w:eastAsia="zh-CN"/>
        </w:rPr>
        <w:t>States should a</w:t>
      </w:r>
      <w:r>
        <w:rPr>
          <w:rFonts w:eastAsia="SimSun"/>
          <w:b/>
          <w:szCs w:val="22"/>
          <w:lang w:eastAsia="zh-CN"/>
        </w:rPr>
        <w:t>ddress discrimination</w:t>
      </w:r>
      <w:r w:rsidR="009139C3">
        <w:rPr>
          <w:rFonts w:eastAsia="SimSun"/>
          <w:b/>
          <w:szCs w:val="22"/>
          <w:lang w:eastAsia="zh-CN"/>
        </w:rPr>
        <w:t xml:space="preserve"> by</w:t>
      </w:r>
      <w:r w:rsidRPr="00A52A47">
        <w:rPr>
          <w:rFonts w:eastAsia="SimSun"/>
          <w:b/>
          <w:szCs w:val="22"/>
          <w:lang w:eastAsia="zh-CN"/>
        </w:rPr>
        <w:t>:</w:t>
      </w:r>
    </w:p>
    <w:p w:rsidR="00E759E1" w:rsidRPr="00A52A47" w:rsidRDefault="00E759E1" w:rsidP="00023DDC">
      <w:pPr>
        <w:pStyle w:val="SingleTxtG"/>
        <w:ind w:firstLine="567"/>
        <w:rPr>
          <w:b/>
          <w:lang w:eastAsia="zh-CN"/>
        </w:rPr>
      </w:pPr>
      <w:r w:rsidRPr="0035771E">
        <w:rPr>
          <w:rFonts w:eastAsia="SimSun"/>
          <w:b/>
          <w:szCs w:val="22"/>
          <w:lang w:eastAsia="zh-CN"/>
        </w:rPr>
        <w:lastRenderedPageBreak/>
        <w:t>(a)</w:t>
      </w:r>
      <w:r w:rsidRPr="00A52A47">
        <w:rPr>
          <w:rFonts w:eastAsia="SimSun"/>
          <w:b/>
          <w:szCs w:val="22"/>
          <w:lang w:eastAsia="zh-CN"/>
        </w:rPr>
        <w:tab/>
        <w:t>Revis</w:t>
      </w:r>
      <w:r w:rsidR="009139C3">
        <w:rPr>
          <w:rFonts w:eastAsia="SimSun"/>
          <w:b/>
          <w:szCs w:val="22"/>
          <w:lang w:eastAsia="zh-CN"/>
        </w:rPr>
        <w:t>ing</w:t>
      </w:r>
      <w:r w:rsidRPr="00A52A47">
        <w:rPr>
          <w:rFonts w:eastAsia="SimSun"/>
          <w:b/>
          <w:szCs w:val="22"/>
          <w:lang w:eastAsia="zh-CN"/>
        </w:rPr>
        <w:t xml:space="preserve"> criminal laws to remove offen</w:t>
      </w:r>
      <w:r w:rsidR="009139C3">
        <w:rPr>
          <w:rFonts w:eastAsia="SimSun"/>
          <w:b/>
          <w:szCs w:val="22"/>
          <w:lang w:eastAsia="zh-CN"/>
        </w:rPr>
        <w:t>c</w:t>
      </w:r>
      <w:r w:rsidRPr="00A52A47">
        <w:rPr>
          <w:rFonts w:eastAsia="SimSun"/>
          <w:b/>
          <w:szCs w:val="22"/>
          <w:lang w:eastAsia="zh-CN"/>
        </w:rPr>
        <w:t>es relating to consensual same</w:t>
      </w:r>
      <w:r w:rsidR="009139C3">
        <w:rPr>
          <w:rFonts w:eastAsia="SimSun"/>
          <w:b/>
          <w:szCs w:val="22"/>
          <w:lang w:eastAsia="zh-CN"/>
        </w:rPr>
        <w:t>-</w:t>
      </w:r>
      <w:r w:rsidRPr="00A52A47">
        <w:rPr>
          <w:rFonts w:eastAsia="SimSun"/>
          <w:b/>
          <w:szCs w:val="22"/>
          <w:lang w:eastAsia="zh-CN"/>
        </w:rPr>
        <w:t xml:space="preserve">sex conduct and other offences used to arrest and punish </w:t>
      </w:r>
      <w:r w:rsidR="009139C3">
        <w:rPr>
          <w:rFonts w:eastAsia="SimSun"/>
          <w:b/>
          <w:szCs w:val="22"/>
          <w:lang w:eastAsia="zh-CN"/>
        </w:rPr>
        <w:t>persons</w:t>
      </w:r>
      <w:r w:rsidR="009139C3" w:rsidRPr="00A52A47">
        <w:rPr>
          <w:rFonts w:eastAsia="SimSun"/>
          <w:b/>
          <w:szCs w:val="22"/>
          <w:lang w:eastAsia="zh-CN"/>
        </w:rPr>
        <w:t xml:space="preserve"> </w:t>
      </w:r>
      <w:r w:rsidRPr="00A52A47">
        <w:rPr>
          <w:rFonts w:eastAsia="SimSun"/>
          <w:b/>
          <w:szCs w:val="22"/>
          <w:lang w:eastAsia="zh-CN"/>
        </w:rPr>
        <w:t>on the basis of their sexual orientation and gender identity or expression</w:t>
      </w:r>
      <w:r w:rsidR="009139C3">
        <w:rPr>
          <w:rFonts w:eastAsia="SimSun"/>
          <w:b/>
          <w:szCs w:val="22"/>
          <w:lang w:eastAsia="zh-CN"/>
        </w:rPr>
        <w:t>;</w:t>
      </w:r>
      <w:r w:rsidRPr="00A52A47">
        <w:rPr>
          <w:rFonts w:eastAsia="SimSun"/>
          <w:b/>
          <w:szCs w:val="22"/>
          <w:lang w:eastAsia="zh-CN"/>
        </w:rPr>
        <w:t xml:space="preserve"> order</w:t>
      </w:r>
      <w:r w:rsidR="009139C3">
        <w:rPr>
          <w:rFonts w:eastAsia="SimSun"/>
          <w:b/>
          <w:szCs w:val="22"/>
          <w:lang w:eastAsia="zh-CN"/>
        </w:rPr>
        <w:t>ing</w:t>
      </w:r>
      <w:r w:rsidRPr="00A52A47">
        <w:rPr>
          <w:rFonts w:eastAsia="SimSun"/>
          <w:b/>
          <w:szCs w:val="22"/>
          <w:lang w:eastAsia="zh-CN"/>
        </w:rPr>
        <w:t xml:space="preserve"> an immediate moratorium on related prosecution; and expung</w:t>
      </w:r>
      <w:r w:rsidR="009139C3">
        <w:rPr>
          <w:rFonts w:eastAsia="SimSun"/>
          <w:b/>
          <w:szCs w:val="22"/>
          <w:lang w:eastAsia="zh-CN"/>
        </w:rPr>
        <w:t>ing the</w:t>
      </w:r>
      <w:r w:rsidRPr="00A52A47">
        <w:rPr>
          <w:rFonts w:eastAsia="SimSun"/>
          <w:b/>
          <w:szCs w:val="22"/>
          <w:lang w:eastAsia="zh-CN"/>
        </w:rPr>
        <w:t xml:space="preserve"> criminal records of individuals convicted of such offences</w:t>
      </w:r>
      <w:r w:rsidR="009139C3">
        <w:rPr>
          <w:rFonts w:eastAsia="SimSun"/>
          <w:b/>
          <w:szCs w:val="22"/>
          <w:lang w:eastAsia="zh-CN"/>
        </w:rPr>
        <w:t>;</w:t>
      </w:r>
    </w:p>
    <w:p w:rsidR="00E759E1" w:rsidRPr="00A52A47" w:rsidRDefault="00E759E1" w:rsidP="00023DDC">
      <w:pPr>
        <w:pStyle w:val="SingleTxtG"/>
        <w:ind w:firstLine="567"/>
        <w:rPr>
          <w:rFonts w:eastAsia="SimSun"/>
          <w:b/>
          <w:szCs w:val="22"/>
          <w:lang w:eastAsia="zh-CN"/>
        </w:rPr>
      </w:pPr>
      <w:r w:rsidRPr="0035771E">
        <w:rPr>
          <w:rFonts w:eastAsia="SimSun"/>
          <w:b/>
          <w:szCs w:val="22"/>
          <w:lang w:eastAsia="zh-CN"/>
        </w:rPr>
        <w:t>(b)</w:t>
      </w:r>
      <w:r w:rsidRPr="00A52A47">
        <w:rPr>
          <w:rFonts w:eastAsia="SimSun"/>
          <w:b/>
          <w:szCs w:val="22"/>
          <w:lang w:eastAsia="zh-CN"/>
        </w:rPr>
        <w:tab/>
        <w:t>Repeal</w:t>
      </w:r>
      <w:r w:rsidR="009139C3">
        <w:rPr>
          <w:rFonts w:eastAsia="SimSun"/>
          <w:b/>
          <w:szCs w:val="22"/>
          <w:lang w:eastAsia="zh-CN"/>
        </w:rPr>
        <w:t>ing</w:t>
      </w:r>
      <w:r w:rsidRPr="00A52A47">
        <w:rPr>
          <w:rFonts w:eastAsia="SimSun"/>
          <w:b/>
          <w:szCs w:val="22"/>
          <w:lang w:eastAsia="zh-CN"/>
        </w:rPr>
        <w:t xml:space="preserve"> so-called “anti-propaganda” and other laws that impose discriminatory restrictions on freedom of expression, association and assembly</w:t>
      </w:r>
      <w:r w:rsidR="009139C3">
        <w:rPr>
          <w:rFonts w:eastAsia="SimSun"/>
          <w:b/>
          <w:szCs w:val="22"/>
          <w:lang w:eastAsia="zh-CN"/>
        </w:rPr>
        <w:t>;</w:t>
      </w:r>
    </w:p>
    <w:p w:rsidR="00E759E1" w:rsidRPr="00A52A47" w:rsidRDefault="00E759E1" w:rsidP="00023DDC">
      <w:pPr>
        <w:pStyle w:val="SingleTxtG"/>
        <w:ind w:firstLine="567"/>
        <w:rPr>
          <w:rFonts w:eastAsia="SimSun"/>
          <w:b/>
          <w:szCs w:val="22"/>
          <w:lang w:eastAsia="zh-CN"/>
        </w:rPr>
      </w:pPr>
      <w:r w:rsidRPr="0035771E">
        <w:rPr>
          <w:rFonts w:eastAsia="SimSun"/>
          <w:b/>
          <w:szCs w:val="22"/>
          <w:lang w:eastAsia="zh-CN"/>
        </w:rPr>
        <w:t>(c)</w:t>
      </w:r>
      <w:r w:rsidRPr="00A52A47">
        <w:rPr>
          <w:rFonts w:eastAsia="SimSun"/>
          <w:b/>
          <w:szCs w:val="22"/>
          <w:lang w:eastAsia="zh-CN"/>
        </w:rPr>
        <w:tab/>
        <w:t>Ensur</w:t>
      </w:r>
      <w:r w:rsidR="009139C3">
        <w:rPr>
          <w:rFonts w:eastAsia="SimSun"/>
          <w:b/>
          <w:szCs w:val="22"/>
          <w:lang w:eastAsia="zh-CN"/>
        </w:rPr>
        <w:t>ing</w:t>
      </w:r>
      <w:r w:rsidRPr="00A52A47">
        <w:rPr>
          <w:rFonts w:eastAsia="SimSun"/>
          <w:b/>
          <w:szCs w:val="22"/>
          <w:lang w:eastAsia="zh-CN"/>
        </w:rPr>
        <w:t xml:space="preserve"> that anti-discrimination legislation includes sexual orientation and gender identity among prohibited grounds, and also protects intersex </w:t>
      </w:r>
      <w:r w:rsidR="009139C3">
        <w:rPr>
          <w:rFonts w:eastAsia="SimSun"/>
          <w:b/>
          <w:szCs w:val="22"/>
          <w:lang w:eastAsia="zh-CN"/>
        </w:rPr>
        <w:t>persons</w:t>
      </w:r>
      <w:r w:rsidR="009139C3" w:rsidRPr="00A52A47">
        <w:rPr>
          <w:rFonts w:eastAsia="SimSun"/>
          <w:b/>
          <w:szCs w:val="22"/>
          <w:lang w:eastAsia="zh-CN"/>
        </w:rPr>
        <w:t xml:space="preserve"> </w:t>
      </w:r>
      <w:r w:rsidRPr="00A52A47">
        <w:rPr>
          <w:rFonts w:eastAsia="SimSun"/>
          <w:b/>
          <w:szCs w:val="22"/>
          <w:lang w:eastAsia="zh-CN"/>
        </w:rPr>
        <w:t>from discrimination</w:t>
      </w:r>
      <w:r w:rsidR="009139C3">
        <w:rPr>
          <w:rFonts w:eastAsia="SimSun"/>
          <w:b/>
          <w:szCs w:val="22"/>
          <w:lang w:eastAsia="zh-CN"/>
        </w:rPr>
        <w:t>;</w:t>
      </w:r>
    </w:p>
    <w:p w:rsidR="00E759E1" w:rsidRPr="00A52A47" w:rsidRDefault="00E759E1" w:rsidP="00023DDC">
      <w:pPr>
        <w:pStyle w:val="SingleTxtG"/>
        <w:ind w:firstLine="567"/>
        <w:rPr>
          <w:rFonts w:eastAsia="SimSun"/>
          <w:b/>
          <w:szCs w:val="22"/>
          <w:lang w:eastAsia="zh-CN"/>
        </w:rPr>
      </w:pPr>
      <w:r w:rsidRPr="0035771E">
        <w:rPr>
          <w:rFonts w:eastAsia="SimSun"/>
          <w:b/>
          <w:szCs w:val="22"/>
          <w:lang w:eastAsia="zh-CN"/>
        </w:rPr>
        <w:t>(d)</w:t>
      </w:r>
      <w:r w:rsidRPr="00A52A47">
        <w:rPr>
          <w:rFonts w:eastAsia="SimSun"/>
          <w:b/>
          <w:szCs w:val="22"/>
          <w:lang w:eastAsia="zh-CN"/>
        </w:rPr>
        <w:tab/>
        <w:t>Integrat</w:t>
      </w:r>
      <w:r w:rsidR="009139C3">
        <w:rPr>
          <w:rFonts w:eastAsia="SimSun"/>
          <w:b/>
          <w:szCs w:val="22"/>
          <w:lang w:eastAsia="zh-CN"/>
        </w:rPr>
        <w:t>ing</w:t>
      </w:r>
      <w:r w:rsidRPr="00A52A47">
        <w:rPr>
          <w:rFonts w:eastAsia="SimSun"/>
          <w:b/>
          <w:szCs w:val="22"/>
          <w:lang w:eastAsia="zh-CN"/>
        </w:rPr>
        <w:t xml:space="preserve"> </w:t>
      </w:r>
      <w:r w:rsidRPr="00A52A47">
        <w:rPr>
          <w:b/>
          <w:szCs w:val="22"/>
          <w:lang w:eastAsia="zh-CN"/>
        </w:rPr>
        <w:t xml:space="preserve">analysis of violations based on sexual orientation and gender identity in national </w:t>
      </w:r>
      <w:r w:rsidR="009139C3" w:rsidRPr="00A52A47">
        <w:rPr>
          <w:b/>
          <w:szCs w:val="22"/>
          <w:lang w:eastAsia="zh-CN"/>
        </w:rPr>
        <w:t xml:space="preserve">plans </w:t>
      </w:r>
      <w:r w:rsidR="009139C3">
        <w:rPr>
          <w:b/>
          <w:szCs w:val="22"/>
          <w:lang w:eastAsia="zh-CN"/>
        </w:rPr>
        <w:t xml:space="preserve">of </w:t>
      </w:r>
      <w:r w:rsidRPr="00A52A47">
        <w:rPr>
          <w:b/>
          <w:szCs w:val="22"/>
          <w:lang w:eastAsia="zh-CN"/>
        </w:rPr>
        <w:t xml:space="preserve">action, </w:t>
      </w:r>
      <w:r w:rsidR="009139C3">
        <w:rPr>
          <w:b/>
          <w:szCs w:val="22"/>
          <w:lang w:eastAsia="zh-CN"/>
        </w:rPr>
        <w:t xml:space="preserve">thereby </w:t>
      </w:r>
      <w:r w:rsidRPr="00A52A47">
        <w:rPr>
          <w:b/>
          <w:szCs w:val="22"/>
          <w:lang w:eastAsia="zh-CN"/>
        </w:rPr>
        <w:t xml:space="preserve">ensuring coordination and adequate resourcing of related activities, accountability for perpetrators, and </w:t>
      </w:r>
      <w:r>
        <w:rPr>
          <w:b/>
          <w:szCs w:val="22"/>
          <w:lang w:eastAsia="zh-CN"/>
        </w:rPr>
        <w:t>redress</w:t>
      </w:r>
      <w:r w:rsidRPr="00A52A47">
        <w:rPr>
          <w:b/>
          <w:szCs w:val="22"/>
          <w:lang w:eastAsia="zh-CN"/>
        </w:rPr>
        <w:t xml:space="preserve"> for victims</w:t>
      </w:r>
      <w:r w:rsidR="00721725">
        <w:rPr>
          <w:b/>
          <w:szCs w:val="22"/>
          <w:lang w:eastAsia="zh-CN"/>
        </w:rPr>
        <w:t>;</w:t>
      </w:r>
    </w:p>
    <w:p w:rsidR="00E759E1" w:rsidRPr="00A52A47" w:rsidRDefault="00E759E1" w:rsidP="00023DDC">
      <w:pPr>
        <w:pStyle w:val="SingleTxtG"/>
        <w:ind w:firstLine="567"/>
        <w:rPr>
          <w:rFonts w:eastAsia="SimSun"/>
          <w:b/>
          <w:szCs w:val="22"/>
          <w:lang w:eastAsia="zh-CN"/>
        </w:rPr>
      </w:pPr>
      <w:r w:rsidRPr="0035771E">
        <w:rPr>
          <w:rFonts w:eastAsia="SimSun"/>
          <w:b/>
          <w:szCs w:val="22"/>
          <w:lang w:eastAsia="zh-CN"/>
        </w:rPr>
        <w:t>(e)</w:t>
      </w:r>
      <w:r w:rsidRPr="00A52A47">
        <w:rPr>
          <w:rFonts w:eastAsia="SimSun"/>
          <w:b/>
          <w:szCs w:val="22"/>
          <w:lang w:eastAsia="zh-CN"/>
        </w:rPr>
        <w:tab/>
        <w:t>Sensitiz</w:t>
      </w:r>
      <w:r w:rsidR="009139C3">
        <w:rPr>
          <w:rFonts w:eastAsia="SimSun"/>
          <w:b/>
          <w:szCs w:val="22"/>
          <w:lang w:eastAsia="zh-CN"/>
        </w:rPr>
        <w:t>ing</w:t>
      </w:r>
      <w:r w:rsidRPr="00A52A47">
        <w:rPr>
          <w:rFonts w:eastAsia="SimSun"/>
          <w:b/>
          <w:szCs w:val="22"/>
          <w:lang w:eastAsia="zh-CN"/>
        </w:rPr>
        <w:t xml:space="preserve"> health</w:t>
      </w:r>
      <w:r w:rsidR="009139C3">
        <w:rPr>
          <w:rFonts w:eastAsia="SimSun"/>
          <w:b/>
          <w:szCs w:val="22"/>
          <w:lang w:eastAsia="zh-CN"/>
        </w:rPr>
        <w:t>-</w:t>
      </w:r>
      <w:r w:rsidRPr="00A52A47">
        <w:rPr>
          <w:rFonts w:eastAsia="SimSun"/>
          <w:b/>
          <w:szCs w:val="22"/>
          <w:lang w:eastAsia="zh-CN"/>
        </w:rPr>
        <w:t xml:space="preserve">care workers to </w:t>
      </w:r>
      <w:r w:rsidR="00721725">
        <w:rPr>
          <w:rFonts w:eastAsia="SimSun"/>
          <w:b/>
          <w:szCs w:val="22"/>
          <w:lang w:eastAsia="zh-CN"/>
        </w:rPr>
        <w:t xml:space="preserve">the </w:t>
      </w:r>
      <w:r w:rsidRPr="00A52A47">
        <w:rPr>
          <w:rFonts w:eastAsia="SimSun"/>
          <w:b/>
          <w:szCs w:val="22"/>
          <w:lang w:eastAsia="zh-CN"/>
        </w:rPr>
        <w:t>health needs</w:t>
      </w:r>
      <w:r w:rsidR="00721725" w:rsidRPr="00721725">
        <w:rPr>
          <w:rFonts w:eastAsia="SimSun"/>
          <w:b/>
          <w:szCs w:val="22"/>
          <w:lang w:eastAsia="zh-CN"/>
        </w:rPr>
        <w:t xml:space="preserve"> </w:t>
      </w:r>
      <w:r w:rsidR="00721725">
        <w:rPr>
          <w:rFonts w:eastAsia="SimSun"/>
          <w:b/>
          <w:szCs w:val="22"/>
          <w:lang w:eastAsia="zh-CN"/>
        </w:rPr>
        <w:t xml:space="preserve">of </w:t>
      </w:r>
      <w:r w:rsidR="00721725" w:rsidRPr="00A52A47">
        <w:rPr>
          <w:rFonts w:eastAsia="SimSun"/>
          <w:b/>
          <w:szCs w:val="22"/>
          <w:lang w:eastAsia="zh-CN"/>
        </w:rPr>
        <w:t>LGBT and intersex</w:t>
      </w:r>
      <w:r w:rsidR="00721725">
        <w:rPr>
          <w:rFonts w:eastAsia="SimSun"/>
          <w:b/>
          <w:szCs w:val="22"/>
          <w:lang w:eastAsia="zh-CN"/>
        </w:rPr>
        <w:t xml:space="preserve"> persons</w:t>
      </w:r>
      <w:r w:rsidRPr="00A52A47">
        <w:rPr>
          <w:rFonts w:eastAsia="SimSun"/>
          <w:b/>
          <w:szCs w:val="22"/>
          <w:lang w:eastAsia="zh-CN"/>
        </w:rPr>
        <w:t xml:space="preserve">, including in </w:t>
      </w:r>
      <w:r w:rsidR="00721725">
        <w:rPr>
          <w:rFonts w:eastAsia="SimSun"/>
          <w:b/>
          <w:szCs w:val="22"/>
          <w:lang w:eastAsia="zh-CN"/>
        </w:rPr>
        <w:t xml:space="preserve">the </w:t>
      </w:r>
      <w:r w:rsidRPr="00A52A47">
        <w:rPr>
          <w:rFonts w:eastAsia="SimSun"/>
          <w:b/>
          <w:szCs w:val="22"/>
          <w:lang w:eastAsia="zh-CN"/>
        </w:rPr>
        <w:t>areas of sexual and reproductive health and rights, suicide prevention, HIV/AIDS and trauma counselling</w:t>
      </w:r>
      <w:r w:rsidR="00721725">
        <w:rPr>
          <w:rFonts w:eastAsia="SimSun"/>
          <w:b/>
          <w:szCs w:val="22"/>
          <w:lang w:eastAsia="zh-CN"/>
        </w:rPr>
        <w:t>;</w:t>
      </w:r>
    </w:p>
    <w:p w:rsidR="00E759E1" w:rsidRPr="00A52A47" w:rsidRDefault="00E759E1" w:rsidP="00023DDC">
      <w:pPr>
        <w:pStyle w:val="SingleTxtG"/>
        <w:ind w:firstLine="567"/>
        <w:rPr>
          <w:rFonts w:eastAsia="SimSun"/>
          <w:b/>
          <w:szCs w:val="22"/>
          <w:lang w:eastAsia="zh-CN"/>
        </w:rPr>
      </w:pPr>
      <w:r w:rsidRPr="0035771E">
        <w:rPr>
          <w:rFonts w:eastAsia="SimSun"/>
          <w:b/>
          <w:szCs w:val="22"/>
          <w:lang w:eastAsia="zh-CN"/>
        </w:rPr>
        <w:t>(f)</w:t>
      </w:r>
      <w:r w:rsidRPr="00A52A47">
        <w:rPr>
          <w:rFonts w:eastAsia="SimSun"/>
          <w:b/>
          <w:szCs w:val="22"/>
          <w:lang w:eastAsia="zh-CN"/>
        </w:rPr>
        <w:tab/>
        <w:t>Establish</w:t>
      </w:r>
      <w:r w:rsidR="00721725">
        <w:rPr>
          <w:rFonts w:eastAsia="SimSun"/>
          <w:b/>
          <w:szCs w:val="22"/>
          <w:lang w:eastAsia="zh-CN"/>
        </w:rPr>
        <w:t>ing</w:t>
      </w:r>
      <w:r w:rsidRPr="00A52A47">
        <w:rPr>
          <w:rFonts w:eastAsia="SimSun"/>
          <w:b/>
          <w:szCs w:val="22"/>
          <w:lang w:eastAsia="zh-CN"/>
        </w:rPr>
        <w:t xml:space="preserve"> national standards on non-discrimination in education; develop</w:t>
      </w:r>
      <w:r w:rsidR="00721725">
        <w:rPr>
          <w:rFonts w:eastAsia="SimSun"/>
          <w:b/>
          <w:szCs w:val="22"/>
          <w:lang w:eastAsia="zh-CN"/>
        </w:rPr>
        <w:t>ing</w:t>
      </w:r>
      <w:r w:rsidRPr="00A52A47">
        <w:rPr>
          <w:rFonts w:eastAsia="SimSun"/>
          <w:b/>
          <w:szCs w:val="22"/>
          <w:lang w:eastAsia="zh-CN"/>
        </w:rPr>
        <w:t xml:space="preserve"> anti-bullying programmes and establish</w:t>
      </w:r>
      <w:r w:rsidR="00721725">
        <w:rPr>
          <w:rFonts w:eastAsia="SimSun"/>
          <w:b/>
          <w:szCs w:val="22"/>
          <w:lang w:eastAsia="zh-CN"/>
        </w:rPr>
        <w:t>ing</w:t>
      </w:r>
      <w:r w:rsidRPr="00A52A47">
        <w:rPr>
          <w:rFonts w:eastAsia="SimSun"/>
          <w:b/>
          <w:szCs w:val="22"/>
          <w:lang w:eastAsia="zh-CN"/>
        </w:rPr>
        <w:t xml:space="preserve"> helplines and other services to support LGBT and gender-non-conforming youth; </w:t>
      </w:r>
      <w:r w:rsidR="00721725">
        <w:rPr>
          <w:rFonts w:eastAsia="SimSun"/>
          <w:b/>
          <w:szCs w:val="22"/>
          <w:lang w:eastAsia="zh-CN"/>
        </w:rPr>
        <w:t xml:space="preserve">and </w:t>
      </w:r>
      <w:r w:rsidRPr="00A52A47">
        <w:rPr>
          <w:rFonts w:eastAsia="SimSun"/>
          <w:b/>
          <w:szCs w:val="22"/>
          <w:lang w:eastAsia="zh-CN"/>
        </w:rPr>
        <w:t>provid</w:t>
      </w:r>
      <w:r w:rsidR="00721725">
        <w:rPr>
          <w:rFonts w:eastAsia="SimSun"/>
          <w:b/>
          <w:szCs w:val="22"/>
          <w:lang w:eastAsia="zh-CN"/>
        </w:rPr>
        <w:t>ing</w:t>
      </w:r>
      <w:r w:rsidRPr="00A52A47">
        <w:rPr>
          <w:rFonts w:eastAsia="SimSun"/>
          <w:b/>
          <w:szCs w:val="22"/>
          <w:lang w:eastAsia="zh-CN"/>
        </w:rPr>
        <w:t xml:space="preserve"> comprehensive, age-appropriate sexuality education</w:t>
      </w:r>
      <w:r w:rsidR="00721725">
        <w:rPr>
          <w:rFonts w:eastAsia="SimSun"/>
          <w:b/>
          <w:szCs w:val="22"/>
          <w:lang w:eastAsia="zh-CN"/>
        </w:rPr>
        <w:t>;</w:t>
      </w:r>
    </w:p>
    <w:p w:rsidR="00E759E1" w:rsidRPr="00A52A47" w:rsidRDefault="00E759E1" w:rsidP="00023DDC">
      <w:pPr>
        <w:pStyle w:val="SingleTxtG"/>
        <w:ind w:firstLine="567"/>
        <w:rPr>
          <w:rFonts w:eastAsia="SimSun"/>
          <w:b/>
          <w:szCs w:val="22"/>
          <w:lang w:eastAsia="zh-CN"/>
        </w:rPr>
      </w:pPr>
      <w:r w:rsidRPr="0035771E">
        <w:rPr>
          <w:rFonts w:eastAsia="SimSun"/>
          <w:b/>
          <w:szCs w:val="22"/>
          <w:lang w:eastAsia="zh-CN"/>
        </w:rPr>
        <w:t>(g)</w:t>
      </w:r>
      <w:r w:rsidRPr="00A52A47">
        <w:rPr>
          <w:rFonts w:eastAsia="SimSun"/>
          <w:b/>
          <w:szCs w:val="22"/>
          <w:lang w:eastAsia="zh-CN"/>
        </w:rPr>
        <w:tab/>
        <w:t>Ensur</w:t>
      </w:r>
      <w:r w:rsidR="00721725">
        <w:rPr>
          <w:rFonts w:eastAsia="SimSun"/>
          <w:b/>
          <w:szCs w:val="22"/>
          <w:lang w:eastAsia="zh-CN"/>
        </w:rPr>
        <w:t>ing</w:t>
      </w:r>
      <w:r w:rsidRPr="00A52A47">
        <w:rPr>
          <w:rFonts w:eastAsia="SimSun"/>
          <w:b/>
          <w:szCs w:val="22"/>
          <w:lang w:eastAsia="zh-CN"/>
        </w:rPr>
        <w:t xml:space="preserve"> that housing policies do not discriminate against tenants based on sexual orientation and gender identity;</w:t>
      </w:r>
      <w:r w:rsidR="00721725">
        <w:rPr>
          <w:rFonts w:eastAsia="SimSun"/>
          <w:b/>
          <w:szCs w:val="22"/>
          <w:lang w:eastAsia="zh-CN"/>
        </w:rPr>
        <w:t xml:space="preserve"> and</w:t>
      </w:r>
      <w:r w:rsidRPr="00A52A47">
        <w:rPr>
          <w:rFonts w:eastAsia="SimSun"/>
          <w:b/>
          <w:szCs w:val="22"/>
          <w:lang w:eastAsia="zh-CN"/>
        </w:rPr>
        <w:t xml:space="preserve"> establish</w:t>
      </w:r>
      <w:r w:rsidR="00721725">
        <w:rPr>
          <w:rFonts w:eastAsia="SimSun"/>
          <w:b/>
          <w:szCs w:val="22"/>
          <w:lang w:eastAsia="zh-CN"/>
        </w:rPr>
        <w:t>ing</w:t>
      </w:r>
      <w:r w:rsidRPr="00A52A47">
        <w:rPr>
          <w:rFonts w:eastAsia="SimSun"/>
          <w:b/>
          <w:szCs w:val="22"/>
          <w:lang w:eastAsia="zh-CN"/>
        </w:rPr>
        <w:t xml:space="preserve"> shelters for homeless LGBT persons, with specific attention to youth, older </w:t>
      </w:r>
      <w:r w:rsidR="00721725">
        <w:rPr>
          <w:rFonts w:eastAsia="SimSun"/>
          <w:b/>
          <w:szCs w:val="22"/>
          <w:lang w:eastAsia="zh-CN"/>
        </w:rPr>
        <w:t>persons</w:t>
      </w:r>
      <w:r w:rsidR="00721725" w:rsidRPr="00A52A47">
        <w:rPr>
          <w:rFonts w:eastAsia="SimSun"/>
          <w:b/>
          <w:szCs w:val="22"/>
          <w:lang w:eastAsia="zh-CN"/>
        </w:rPr>
        <w:t xml:space="preserve"> </w:t>
      </w:r>
      <w:r w:rsidRPr="00A52A47">
        <w:rPr>
          <w:rFonts w:eastAsia="SimSun"/>
          <w:b/>
          <w:szCs w:val="22"/>
          <w:lang w:eastAsia="zh-CN"/>
        </w:rPr>
        <w:t>and those in emergency situations</w:t>
      </w:r>
      <w:r w:rsidR="00721725">
        <w:rPr>
          <w:rFonts w:eastAsia="SimSun"/>
          <w:b/>
          <w:szCs w:val="22"/>
          <w:lang w:eastAsia="zh-CN"/>
        </w:rPr>
        <w:t>;</w:t>
      </w:r>
      <w:r w:rsidRPr="00A52A47">
        <w:rPr>
          <w:rFonts w:eastAsia="SimSun"/>
          <w:b/>
          <w:szCs w:val="22"/>
          <w:lang w:eastAsia="zh-CN"/>
        </w:rPr>
        <w:t xml:space="preserve"> </w:t>
      </w:r>
    </w:p>
    <w:p w:rsidR="00E759E1" w:rsidRDefault="00E759E1" w:rsidP="00023DDC">
      <w:pPr>
        <w:pStyle w:val="SingleTxtG"/>
        <w:ind w:firstLine="567"/>
        <w:rPr>
          <w:rFonts w:eastAsia="SimSun"/>
          <w:b/>
          <w:szCs w:val="22"/>
          <w:lang w:eastAsia="zh-CN"/>
        </w:rPr>
      </w:pPr>
      <w:r w:rsidRPr="00A52A47">
        <w:rPr>
          <w:rFonts w:eastAsia="SimSun"/>
          <w:b/>
          <w:szCs w:val="22"/>
          <w:lang w:eastAsia="zh-CN"/>
        </w:rPr>
        <w:t>(</w:t>
      </w:r>
      <w:r>
        <w:rPr>
          <w:rFonts w:eastAsia="SimSun"/>
          <w:b/>
          <w:szCs w:val="22"/>
          <w:lang w:eastAsia="zh-CN"/>
        </w:rPr>
        <w:t>h</w:t>
      </w:r>
      <w:r w:rsidRPr="00A52A47">
        <w:rPr>
          <w:rFonts w:eastAsia="SimSun"/>
          <w:b/>
          <w:szCs w:val="22"/>
          <w:lang w:eastAsia="zh-CN"/>
        </w:rPr>
        <w:t>)</w:t>
      </w:r>
      <w:r w:rsidRPr="00A52A47">
        <w:rPr>
          <w:rFonts w:eastAsia="SimSun"/>
          <w:b/>
          <w:szCs w:val="22"/>
          <w:lang w:eastAsia="zh-CN"/>
        </w:rPr>
        <w:tab/>
        <w:t>Provid</w:t>
      </w:r>
      <w:r w:rsidR="00721725">
        <w:rPr>
          <w:rFonts w:eastAsia="SimSun"/>
          <w:b/>
          <w:szCs w:val="22"/>
          <w:lang w:eastAsia="zh-CN"/>
        </w:rPr>
        <w:t>ing</w:t>
      </w:r>
      <w:r w:rsidRPr="00A52A47">
        <w:rPr>
          <w:rFonts w:eastAsia="SimSun"/>
          <w:b/>
          <w:szCs w:val="22"/>
          <w:lang w:eastAsia="zh-CN"/>
        </w:rPr>
        <w:t xml:space="preserve"> legal recognition </w:t>
      </w:r>
      <w:r>
        <w:rPr>
          <w:rFonts w:eastAsia="SimSun"/>
          <w:b/>
          <w:szCs w:val="22"/>
          <w:lang w:eastAsia="zh-CN"/>
        </w:rPr>
        <w:t>to</w:t>
      </w:r>
      <w:r w:rsidRPr="00A52A47">
        <w:rPr>
          <w:rFonts w:eastAsia="SimSun"/>
          <w:b/>
          <w:szCs w:val="22"/>
          <w:lang w:eastAsia="zh-CN"/>
        </w:rPr>
        <w:t xml:space="preserve"> same</w:t>
      </w:r>
      <w:r w:rsidR="00721725">
        <w:rPr>
          <w:rFonts w:eastAsia="SimSun"/>
          <w:b/>
          <w:szCs w:val="22"/>
          <w:lang w:eastAsia="zh-CN"/>
        </w:rPr>
        <w:t>-</w:t>
      </w:r>
      <w:r w:rsidRPr="00A52A47">
        <w:rPr>
          <w:rFonts w:eastAsia="SimSun"/>
          <w:b/>
          <w:szCs w:val="22"/>
          <w:lang w:eastAsia="zh-CN"/>
        </w:rPr>
        <w:t>sex couples and their children, ensuring that benefits traditionally accorded married partners – including those related to benefits, pensions, and taxation and inheritance – are accorded on a non-discriminatory basis</w:t>
      </w:r>
      <w:r w:rsidR="00721725">
        <w:rPr>
          <w:rFonts w:eastAsia="SimSun"/>
          <w:b/>
          <w:szCs w:val="22"/>
          <w:lang w:eastAsia="zh-CN"/>
        </w:rPr>
        <w:t>;</w:t>
      </w:r>
    </w:p>
    <w:p w:rsidR="00E759E1" w:rsidRPr="00A52A47" w:rsidRDefault="00E759E1" w:rsidP="00023DDC">
      <w:pPr>
        <w:pStyle w:val="SingleTxtG"/>
        <w:ind w:firstLine="567"/>
        <w:rPr>
          <w:rFonts w:eastAsia="SimSun"/>
          <w:b/>
          <w:szCs w:val="22"/>
          <w:lang w:eastAsia="zh-CN"/>
        </w:rPr>
      </w:pPr>
      <w:r>
        <w:rPr>
          <w:rFonts w:eastAsia="SimSun"/>
          <w:b/>
          <w:szCs w:val="22"/>
          <w:lang w:eastAsia="zh-CN"/>
        </w:rPr>
        <w:t xml:space="preserve">(i) </w:t>
      </w:r>
      <w:r>
        <w:rPr>
          <w:rFonts w:eastAsia="SimSun"/>
          <w:b/>
          <w:szCs w:val="22"/>
          <w:lang w:eastAsia="zh-CN"/>
        </w:rPr>
        <w:tab/>
      </w:r>
      <w:r w:rsidRPr="00A52A47">
        <w:rPr>
          <w:rFonts w:eastAsia="SimSun"/>
          <w:b/>
          <w:szCs w:val="22"/>
          <w:lang w:eastAsia="zh-CN"/>
        </w:rPr>
        <w:t>Issu</w:t>
      </w:r>
      <w:r w:rsidR="00721725">
        <w:rPr>
          <w:rFonts w:eastAsia="SimSun"/>
          <w:b/>
          <w:szCs w:val="22"/>
          <w:lang w:eastAsia="zh-CN"/>
        </w:rPr>
        <w:t>ing</w:t>
      </w:r>
      <w:r w:rsidRPr="00A52A47">
        <w:rPr>
          <w:rFonts w:eastAsia="SimSun"/>
          <w:b/>
          <w:szCs w:val="22"/>
          <w:lang w:eastAsia="zh-CN"/>
        </w:rPr>
        <w:t xml:space="preserve"> legal identity documents, upon request, that reflect preferred gender, eliminating abusive preconditions, such as sterilization, forced treatment and divorce</w:t>
      </w:r>
      <w:r w:rsidR="00721725">
        <w:rPr>
          <w:rFonts w:eastAsia="SimSun"/>
          <w:b/>
          <w:szCs w:val="22"/>
          <w:lang w:eastAsia="zh-CN"/>
        </w:rPr>
        <w:t>;</w:t>
      </w:r>
    </w:p>
    <w:p w:rsidR="00E759E1" w:rsidRPr="00A52A47" w:rsidRDefault="00E759E1" w:rsidP="00023DDC">
      <w:pPr>
        <w:pStyle w:val="SingleTxtG"/>
        <w:ind w:firstLine="567"/>
        <w:rPr>
          <w:rFonts w:eastAsia="SimSun"/>
          <w:b/>
          <w:szCs w:val="22"/>
          <w:lang w:eastAsia="zh-CN"/>
        </w:rPr>
      </w:pPr>
      <w:r w:rsidRPr="00A52A47">
        <w:rPr>
          <w:rFonts w:eastAsia="SimSun"/>
          <w:b/>
          <w:szCs w:val="22"/>
          <w:lang w:eastAsia="zh-CN"/>
        </w:rPr>
        <w:t>(</w:t>
      </w:r>
      <w:r>
        <w:rPr>
          <w:rFonts w:eastAsia="SimSun"/>
          <w:b/>
          <w:szCs w:val="22"/>
          <w:lang w:eastAsia="zh-CN"/>
        </w:rPr>
        <w:t>j</w:t>
      </w:r>
      <w:r w:rsidRPr="00A52A47">
        <w:rPr>
          <w:rFonts w:eastAsia="SimSun"/>
          <w:b/>
          <w:szCs w:val="22"/>
          <w:lang w:eastAsia="zh-CN"/>
        </w:rPr>
        <w:t>)</w:t>
      </w:r>
      <w:r w:rsidRPr="00A52A47">
        <w:rPr>
          <w:rFonts w:eastAsia="SimSun"/>
          <w:b/>
          <w:szCs w:val="22"/>
          <w:lang w:eastAsia="zh-CN"/>
        </w:rPr>
        <w:tab/>
        <w:t>Support</w:t>
      </w:r>
      <w:r w:rsidR="00721725">
        <w:rPr>
          <w:rFonts w:eastAsia="SimSun"/>
          <w:b/>
          <w:szCs w:val="22"/>
          <w:lang w:eastAsia="zh-CN"/>
        </w:rPr>
        <w:t>ing</w:t>
      </w:r>
      <w:r w:rsidRPr="00A52A47">
        <w:rPr>
          <w:rFonts w:eastAsia="SimSun"/>
          <w:b/>
          <w:szCs w:val="22"/>
          <w:lang w:eastAsia="zh-CN"/>
        </w:rPr>
        <w:t xml:space="preserve"> public education campaigns to counter homophobic and transphobic attitudes, and address</w:t>
      </w:r>
      <w:r w:rsidR="00721725">
        <w:rPr>
          <w:rFonts w:eastAsia="SimSun"/>
          <w:b/>
          <w:szCs w:val="22"/>
          <w:lang w:eastAsia="zh-CN"/>
        </w:rPr>
        <w:t>ing</w:t>
      </w:r>
      <w:r w:rsidRPr="00A52A47">
        <w:rPr>
          <w:rFonts w:eastAsia="SimSun"/>
          <w:b/>
          <w:szCs w:val="22"/>
          <w:lang w:eastAsia="zh-CN"/>
        </w:rPr>
        <w:t xml:space="preserve"> negative, stereotypical portrayal</w:t>
      </w:r>
      <w:r w:rsidR="00721725">
        <w:rPr>
          <w:rFonts w:eastAsia="SimSun"/>
          <w:b/>
          <w:szCs w:val="22"/>
          <w:lang w:eastAsia="zh-CN"/>
        </w:rPr>
        <w:t>s</w:t>
      </w:r>
      <w:r w:rsidRPr="00A52A47">
        <w:rPr>
          <w:rFonts w:eastAsia="SimSun"/>
          <w:b/>
          <w:szCs w:val="22"/>
          <w:lang w:eastAsia="zh-CN"/>
        </w:rPr>
        <w:t xml:space="preserve"> of LGBT </w:t>
      </w:r>
      <w:r w:rsidR="00721725">
        <w:rPr>
          <w:rFonts w:eastAsia="SimSun"/>
          <w:b/>
          <w:szCs w:val="22"/>
          <w:lang w:eastAsia="zh-CN"/>
        </w:rPr>
        <w:t>persons</w:t>
      </w:r>
      <w:r w:rsidR="00721725" w:rsidRPr="00A52A47">
        <w:rPr>
          <w:rFonts w:eastAsia="SimSun"/>
          <w:b/>
          <w:szCs w:val="22"/>
          <w:lang w:eastAsia="zh-CN"/>
        </w:rPr>
        <w:t xml:space="preserve"> </w:t>
      </w:r>
      <w:r w:rsidRPr="00A52A47">
        <w:rPr>
          <w:rFonts w:eastAsia="SimSun"/>
          <w:b/>
          <w:szCs w:val="22"/>
          <w:lang w:eastAsia="zh-CN"/>
        </w:rPr>
        <w:t>in the media</w:t>
      </w:r>
      <w:r w:rsidR="00721725">
        <w:rPr>
          <w:rFonts w:eastAsia="SimSun"/>
          <w:b/>
          <w:szCs w:val="22"/>
          <w:lang w:eastAsia="zh-CN"/>
        </w:rPr>
        <w:t>;</w:t>
      </w:r>
    </w:p>
    <w:p w:rsidR="00E759E1" w:rsidRPr="00A52A47" w:rsidRDefault="00E759E1" w:rsidP="00023DDC">
      <w:pPr>
        <w:pStyle w:val="SingleTxtG"/>
        <w:ind w:firstLine="567"/>
        <w:rPr>
          <w:rFonts w:eastAsia="SimSun"/>
          <w:b/>
          <w:szCs w:val="22"/>
          <w:lang w:eastAsia="zh-CN"/>
        </w:rPr>
      </w:pPr>
      <w:r w:rsidRPr="00A52A47">
        <w:rPr>
          <w:rFonts w:eastAsia="SimSun"/>
          <w:b/>
          <w:szCs w:val="22"/>
          <w:lang w:eastAsia="zh-CN"/>
        </w:rPr>
        <w:t>(</w:t>
      </w:r>
      <w:r>
        <w:rPr>
          <w:rFonts w:eastAsia="SimSun"/>
          <w:b/>
          <w:szCs w:val="22"/>
          <w:lang w:eastAsia="zh-CN"/>
        </w:rPr>
        <w:t>k</w:t>
      </w:r>
      <w:r w:rsidRPr="00A52A47">
        <w:rPr>
          <w:rFonts w:eastAsia="SimSun"/>
          <w:b/>
          <w:szCs w:val="22"/>
          <w:lang w:eastAsia="zh-CN"/>
        </w:rPr>
        <w:t>)</w:t>
      </w:r>
      <w:r w:rsidRPr="00A52A47">
        <w:rPr>
          <w:rFonts w:eastAsia="SimSun"/>
          <w:b/>
          <w:szCs w:val="22"/>
          <w:lang w:eastAsia="zh-CN"/>
        </w:rPr>
        <w:tab/>
        <w:t>Ensur</w:t>
      </w:r>
      <w:r w:rsidR="00721725">
        <w:rPr>
          <w:rFonts w:eastAsia="SimSun"/>
          <w:b/>
          <w:szCs w:val="22"/>
          <w:lang w:eastAsia="zh-CN"/>
        </w:rPr>
        <w:t>ing</w:t>
      </w:r>
      <w:r w:rsidRPr="00A52A47">
        <w:rPr>
          <w:rFonts w:eastAsia="SimSun"/>
          <w:b/>
          <w:szCs w:val="22"/>
          <w:lang w:eastAsia="zh-CN"/>
        </w:rPr>
        <w:t xml:space="preserve"> that LGBT and intersex persons and organizations are consulted with regard to legislation and policies that </w:t>
      </w:r>
      <w:r w:rsidR="00721725">
        <w:rPr>
          <w:rFonts w:eastAsia="SimSun"/>
          <w:b/>
          <w:szCs w:val="22"/>
          <w:lang w:eastAsia="zh-CN"/>
        </w:rPr>
        <w:t xml:space="preserve">have an </w:t>
      </w:r>
      <w:r w:rsidRPr="00A52A47">
        <w:rPr>
          <w:rFonts w:eastAsia="SimSun"/>
          <w:b/>
          <w:szCs w:val="22"/>
          <w:lang w:eastAsia="zh-CN"/>
        </w:rPr>
        <w:t>impact on their rights.</w:t>
      </w:r>
    </w:p>
    <w:p w:rsidR="00E759E1" w:rsidRDefault="00E759E1" w:rsidP="00023DDC">
      <w:pPr>
        <w:pStyle w:val="H1G"/>
        <w:spacing w:line="240" w:lineRule="atLeast"/>
        <w:rPr>
          <w:lang w:eastAsia="zh-CN"/>
        </w:rPr>
      </w:pPr>
      <w:r w:rsidRPr="00A52A47">
        <w:rPr>
          <w:lang w:eastAsia="zh-CN"/>
        </w:rPr>
        <w:tab/>
        <w:t>B.</w:t>
      </w:r>
      <w:r w:rsidRPr="00A52A47">
        <w:rPr>
          <w:lang w:eastAsia="zh-CN"/>
        </w:rPr>
        <w:tab/>
      </w:r>
      <w:r>
        <w:rPr>
          <w:lang w:eastAsia="zh-CN"/>
        </w:rPr>
        <w:t>National human rights institutions</w:t>
      </w:r>
    </w:p>
    <w:p w:rsidR="00E759E1" w:rsidRPr="00494431" w:rsidRDefault="00E759E1" w:rsidP="00023DDC">
      <w:pPr>
        <w:pStyle w:val="SingleTxtG"/>
        <w:rPr>
          <w:rFonts w:eastAsia="SimSun"/>
          <w:b/>
          <w:lang w:eastAsia="zh-CN"/>
        </w:rPr>
      </w:pPr>
      <w:r w:rsidRPr="00023DDC">
        <w:rPr>
          <w:rFonts w:eastAsia="SimSun"/>
          <w:lang w:eastAsia="zh-CN"/>
        </w:rPr>
        <w:t>80.</w:t>
      </w:r>
      <w:r w:rsidRPr="00A52A47">
        <w:rPr>
          <w:rFonts w:eastAsia="SimSun"/>
          <w:b/>
          <w:lang w:eastAsia="zh-CN"/>
        </w:rPr>
        <w:tab/>
      </w:r>
      <w:r w:rsidR="00721725">
        <w:rPr>
          <w:rFonts w:eastAsia="SimSun"/>
          <w:b/>
          <w:lang w:eastAsia="zh-CN"/>
        </w:rPr>
        <w:t>The High Commissioner recommends that n</w:t>
      </w:r>
      <w:r w:rsidRPr="00494431">
        <w:rPr>
          <w:rFonts w:eastAsia="SimSun"/>
          <w:b/>
          <w:lang w:eastAsia="zh-CN"/>
        </w:rPr>
        <w:t xml:space="preserve">ational human rights institutions address violence and discrimination against LGBT and intersex </w:t>
      </w:r>
      <w:r w:rsidR="00721725">
        <w:rPr>
          <w:rFonts w:eastAsia="SimSun"/>
          <w:b/>
          <w:lang w:eastAsia="zh-CN"/>
        </w:rPr>
        <w:t>persons</w:t>
      </w:r>
      <w:r w:rsidR="00721725" w:rsidRPr="00494431">
        <w:rPr>
          <w:rFonts w:eastAsia="SimSun"/>
          <w:b/>
          <w:lang w:eastAsia="zh-CN"/>
        </w:rPr>
        <w:t xml:space="preserve"> </w:t>
      </w:r>
      <w:r w:rsidRPr="00494431">
        <w:rPr>
          <w:rFonts w:eastAsia="SimSun"/>
          <w:b/>
          <w:lang w:eastAsia="zh-CN"/>
        </w:rPr>
        <w:t>in the context of their respective mandates to promote and monitor effective implementation of international human rights standards at the national level.</w:t>
      </w:r>
    </w:p>
    <w:p w:rsidR="00E759E1" w:rsidRPr="00CB2F8D" w:rsidRDefault="00E759E1" w:rsidP="00023DDC">
      <w:pPr>
        <w:pStyle w:val="H1G"/>
        <w:spacing w:line="240" w:lineRule="atLeast"/>
      </w:pPr>
      <w:r>
        <w:rPr>
          <w:lang w:eastAsia="zh-CN"/>
        </w:rPr>
        <w:lastRenderedPageBreak/>
        <w:tab/>
      </w:r>
      <w:r w:rsidRPr="00CB2F8D">
        <w:t>C.</w:t>
      </w:r>
      <w:r w:rsidRPr="00CB2F8D">
        <w:tab/>
        <w:t>Human Rights Council</w:t>
      </w:r>
    </w:p>
    <w:p w:rsidR="00E759E1" w:rsidRPr="00494431" w:rsidRDefault="00E759E1" w:rsidP="00023DDC">
      <w:pPr>
        <w:pStyle w:val="SingleTxtG"/>
        <w:rPr>
          <w:rFonts w:eastAsia="SimSun"/>
          <w:b/>
          <w:lang w:eastAsia="zh-CN"/>
        </w:rPr>
      </w:pPr>
      <w:r w:rsidRPr="00023DDC">
        <w:rPr>
          <w:rFonts w:eastAsia="SimSun"/>
          <w:lang w:eastAsia="zh-CN"/>
        </w:rPr>
        <w:t>81.</w:t>
      </w:r>
      <w:r w:rsidRPr="00494431">
        <w:rPr>
          <w:rFonts w:eastAsia="SimSun"/>
          <w:b/>
          <w:lang w:eastAsia="zh-CN"/>
        </w:rPr>
        <w:tab/>
        <w:t xml:space="preserve">As the intergovernmental body with responsibility for promoting and protecting human rights worldwide, the Human Rights Council should keep itself regularly informed of patterns of violence and discrimination linked to sexual orientation and gender identity, as well as emerging State responses. To this end, </w:t>
      </w:r>
      <w:r w:rsidR="004066E4">
        <w:rPr>
          <w:rFonts w:eastAsia="SimSun"/>
          <w:b/>
          <w:lang w:eastAsia="zh-CN"/>
        </w:rPr>
        <w:t>OHCHR</w:t>
      </w:r>
      <w:r w:rsidRPr="00494431">
        <w:rPr>
          <w:rFonts w:eastAsia="SimSun"/>
          <w:b/>
          <w:lang w:eastAsia="zh-CN"/>
        </w:rPr>
        <w:t xml:space="preserve"> stands ready to submit further reports upon request, and </w:t>
      </w:r>
      <w:r w:rsidR="00721725">
        <w:rPr>
          <w:rFonts w:eastAsia="SimSun"/>
          <w:b/>
          <w:lang w:eastAsia="zh-CN"/>
        </w:rPr>
        <w:t>current</w:t>
      </w:r>
      <w:r w:rsidR="00721725" w:rsidRPr="00494431">
        <w:rPr>
          <w:rFonts w:eastAsia="SimSun"/>
          <w:b/>
          <w:lang w:eastAsia="zh-CN"/>
        </w:rPr>
        <w:t xml:space="preserve"> </w:t>
      </w:r>
      <w:r w:rsidRPr="00494431">
        <w:rPr>
          <w:rFonts w:eastAsia="SimSun"/>
          <w:b/>
          <w:lang w:eastAsia="zh-CN"/>
        </w:rPr>
        <w:t>special procedures mandate</w:t>
      </w:r>
      <w:r w:rsidR="00721725">
        <w:rPr>
          <w:rFonts w:eastAsia="SimSun"/>
          <w:b/>
          <w:lang w:eastAsia="zh-CN"/>
        </w:rPr>
        <w:t xml:space="preserve"> holder</w:t>
      </w:r>
      <w:r w:rsidRPr="00494431">
        <w:rPr>
          <w:rFonts w:eastAsia="SimSun"/>
          <w:b/>
          <w:lang w:eastAsia="zh-CN"/>
        </w:rPr>
        <w:t xml:space="preserve">s should be encouraged to continue to report on related violations within their respective mandates. </w:t>
      </w:r>
    </w:p>
    <w:p w:rsidR="00E759E1" w:rsidRPr="0035771E" w:rsidRDefault="00E759E1" w:rsidP="00E759E1">
      <w:pPr>
        <w:pStyle w:val="SingleTxtG"/>
        <w:spacing w:before="240" w:after="0"/>
        <w:jc w:val="center"/>
        <w:rPr>
          <w:szCs w:val="22"/>
          <w:u w:val="single"/>
          <w:lang w:eastAsia="zh-CN"/>
        </w:rPr>
      </w:pPr>
      <w:r w:rsidRPr="0035771E">
        <w:rPr>
          <w:szCs w:val="22"/>
          <w:u w:val="single"/>
          <w:lang w:eastAsia="zh-CN"/>
        </w:rPr>
        <w:tab/>
      </w:r>
      <w:r w:rsidRPr="0035771E">
        <w:rPr>
          <w:szCs w:val="22"/>
          <w:u w:val="single"/>
          <w:lang w:eastAsia="zh-CN"/>
        </w:rPr>
        <w:tab/>
      </w:r>
      <w:r w:rsidRPr="0035771E">
        <w:rPr>
          <w:szCs w:val="22"/>
          <w:u w:val="single"/>
          <w:lang w:eastAsia="zh-CN"/>
        </w:rPr>
        <w:tab/>
      </w:r>
    </w:p>
    <w:sectPr w:rsidR="00E759E1" w:rsidRPr="0035771E" w:rsidSect="00E759E1">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2A" w:rsidRDefault="0013382A"/>
  </w:endnote>
  <w:endnote w:type="continuationSeparator" w:id="0">
    <w:p w:rsidR="0013382A" w:rsidRDefault="0013382A"/>
  </w:endnote>
  <w:endnote w:type="continuationNotice" w:id="1">
    <w:p w:rsidR="0013382A" w:rsidRDefault="001338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Bold-Roman">
    <w:altName w:val="Arial"/>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00000000" w:usb1="00000000" w:usb2="00000000" w:usb3="00000000" w:csb0="000001FB"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F5" w:rsidRPr="004B7CB6" w:rsidRDefault="000673F5" w:rsidP="00E759E1">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B411FC">
      <w:rPr>
        <w:b/>
        <w:noProof/>
        <w:sz w:val="18"/>
      </w:rPr>
      <w:t>2</w:t>
    </w:r>
    <w:r w:rsidRPr="004B7CB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F5" w:rsidRPr="004B7CB6" w:rsidRDefault="000673F5" w:rsidP="00E759E1">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B411FC">
      <w:rPr>
        <w:b/>
        <w:noProof/>
        <w:sz w:val="18"/>
      </w:rPr>
      <w:t>3</w:t>
    </w:r>
    <w:r w:rsidRPr="004B7CB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F5" w:rsidRPr="004B7CB6" w:rsidRDefault="00B411FC" w:rsidP="00F22DAD">
    <w:r>
      <w:rPr>
        <w:noProof/>
        <w:lang w:val="en-US"/>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27735" cy="234950"/>
          <wp:effectExtent l="19050" t="0" r="5715" b="0"/>
          <wp:wrapNone/>
          <wp:docPr id="2"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srcRect/>
                  <a:stretch>
                    <a:fillRect/>
                  </a:stretch>
                </pic:blipFill>
                <pic:spPr bwMode="auto">
                  <a:xfrm>
                    <a:off x="0" y="0"/>
                    <a:ext cx="927735" cy="234950"/>
                  </a:xfrm>
                  <a:prstGeom prst="rect">
                    <a:avLst/>
                  </a:prstGeom>
                  <a:noFill/>
                  <a:ln w="9525">
                    <a:noFill/>
                    <a:miter lim="800000"/>
                    <a:headEnd/>
                    <a:tailEnd/>
                  </a:ln>
                </pic:spPr>
              </pic:pic>
            </a:graphicData>
          </a:graphic>
        </wp:anchor>
      </w:drawing>
    </w:r>
    <w:r w:rsidR="000673F5">
      <w:t>GE.15-</w:t>
    </w:r>
    <w:r>
      <w:rPr>
        <w:noProof/>
        <w:lang w:val="en-US"/>
      </w:rPr>
      <w:drawing>
        <wp:anchor distT="0" distB="0" distL="114300" distR="114300" simplePos="0" relativeHeight="251657216" behindDoc="0" locked="1" layoutInCell="1" allowOverlap="1">
          <wp:simplePos x="0" y="0"/>
          <wp:positionH relativeFrom="column">
            <wp:posOffset>7874000</wp:posOffset>
          </wp:positionH>
          <wp:positionV relativeFrom="paragraph">
            <wp:posOffset>77470</wp:posOffset>
          </wp:positionV>
          <wp:extent cx="930275" cy="230505"/>
          <wp:effectExtent l="1905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rsidR="00D316C4">
      <w:t>08842</w:t>
    </w:r>
    <w:r w:rsidR="00F22DAD">
      <w:t xml:space="preserve">  (E)</w:t>
    </w:r>
    <w:r w:rsidR="00F22DAD">
      <w:br/>
    </w:r>
    <w:r w:rsidR="00F22DAD" w:rsidRPr="00F22DAD">
      <w:rPr>
        <w:rFonts w:ascii="C39T30Lfz" w:hAnsi="C39T30Lfz"/>
        <w:sz w:val="56"/>
      </w:rPr>
      <w:t></w:t>
    </w:r>
    <w:r w:rsidR="00F22DAD" w:rsidRPr="00F22DAD">
      <w:rPr>
        <w:rFonts w:ascii="C39T30Lfz" w:hAnsi="C39T30Lfz"/>
        <w:sz w:val="56"/>
      </w:rPr>
      <w:t></w:t>
    </w:r>
    <w:r w:rsidR="00F22DAD" w:rsidRPr="00F22DAD">
      <w:rPr>
        <w:rFonts w:ascii="C39T30Lfz" w:hAnsi="C39T30Lfz"/>
        <w:sz w:val="56"/>
      </w:rPr>
      <w:t></w:t>
    </w:r>
    <w:r w:rsidR="00F22DAD" w:rsidRPr="00F22DAD">
      <w:rPr>
        <w:rFonts w:ascii="C39T30Lfz" w:hAnsi="C39T30Lfz"/>
        <w:sz w:val="56"/>
      </w:rPr>
      <w:t></w:t>
    </w:r>
    <w:r w:rsidR="00F22DAD" w:rsidRPr="00F22DAD">
      <w:rPr>
        <w:rFonts w:ascii="C39T30Lfz" w:hAnsi="C39T30Lfz"/>
        <w:sz w:val="56"/>
      </w:rPr>
      <w:t></w:t>
    </w:r>
    <w:r w:rsidR="00F22DAD" w:rsidRPr="00F22DAD">
      <w:rPr>
        <w:rFonts w:ascii="C39T30Lfz" w:hAnsi="C39T30Lfz"/>
        <w:sz w:val="56"/>
      </w:rPr>
      <w:t></w:t>
    </w:r>
    <w:r w:rsidR="00F22DAD" w:rsidRPr="00F22DAD">
      <w:rPr>
        <w:rFonts w:ascii="C39T30Lfz" w:hAnsi="C39T30Lfz"/>
        <w:sz w:val="56"/>
      </w:rPr>
      <w:t></w:t>
    </w:r>
    <w:r w:rsidR="00F22DAD" w:rsidRPr="00F22DAD">
      <w:rPr>
        <w:rFonts w:ascii="C39T30Lfz" w:hAnsi="C39T30Lfz"/>
        <w:sz w:val="56"/>
      </w:rPr>
      <w:t></w:t>
    </w:r>
    <w:r w:rsidR="00F22DAD" w:rsidRPr="00F22DAD">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2A" w:rsidRPr="000B175B" w:rsidRDefault="0013382A" w:rsidP="00E759E1">
      <w:pPr>
        <w:tabs>
          <w:tab w:val="right" w:pos="2155"/>
        </w:tabs>
        <w:spacing w:after="80"/>
        <w:ind w:left="680"/>
        <w:rPr>
          <w:u w:val="single"/>
        </w:rPr>
      </w:pPr>
      <w:r>
        <w:rPr>
          <w:u w:val="single"/>
        </w:rPr>
        <w:tab/>
      </w:r>
    </w:p>
  </w:footnote>
  <w:footnote w:type="continuationSeparator" w:id="0">
    <w:p w:rsidR="0013382A" w:rsidRPr="00FC68B7" w:rsidRDefault="0013382A" w:rsidP="00E759E1">
      <w:pPr>
        <w:tabs>
          <w:tab w:val="left" w:pos="2155"/>
        </w:tabs>
        <w:spacing w:after="80"/>
        <w:ind w:left="680"/>
        <w:rPr>
          <w:u w:val="single"/>
        </w:rPr>
      </w:pPr>
      <w:r>
        <w:rPr>
          <w:u w:val="single"/>
        </w:rPr>
        <w:tab/>
      </w:r>
    </w:p>
  </w:footnote>
  <w:footnote w:type="continuationNotice" w:id="1">
    <w:p w:rsidR="0013382A" w:rsidRDefault="0013382A"/>
  </w:footnote>
  <w:footnote w:id="2">
    <w:p w:rsidR="000673F5" w:rsidRPr="00D11809" w:rsidRDefault="000673F5" w:rsidP="00023DDC">
      <w:pPr>
        <w:pStyle w:val="FootnoteText"/>
        <w:spacing w:line="240" w:lineRule="atLeast"/>
        <w:rPr>
          <w:szCs w:val="18"/>
        </w:rPr>
      </w:pPr>
      <w:r w:rsidRPr="00521EB0">
        <w:rPr>
          <w:szCs w:val="18"/>
        </w:rPr>
        <w:tab/>
      </w:r>
      <w:r w:rsidRPr="00D11809">
        <w:rPr>
          <w:rStyle w:val="FootnoteReference"/>
          <w:szCs w:val="18"/>
        </w:rPr>
        <w:footnoteRef/>
      </w:r>
      <w:r w:rsidRPr="00D11809">
        <w:rPr>
          <w:szCs w:val="18"/>
        </w:rPr>
        <w:tab/>
        <w:t>A/HRC/19/41.</w:t>
      </w:r>
    </w:p>
  </w:footnote>
  <w:footnote w:id="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Replies are available on the website of the Office of the High Commissioner at www.ohchr.org/EN/Issues/Discrimination/Pages/SOGIHRC29Replies.aspx.</w:t>
      </w:r>
    </w:p>
  </w:footnote>
  <w:footnote w:id="4">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t xml:space="preserve">While “LGBT” is used in </w:t>
      </w:r>
      <w:r w:rsidRPr="0035771E">
        <w:rPr>
          <w:szCs w:val="18"/>
        </w:rPr>
        <w:t>the present report, other terms are used in different regions. References are also included to violations against intersex persons, who may have any sexual orientation or gender identity. United Nations human rights mechanisms have repeatedly addressed such violations together with those directed at LGBT persons.</w:t>
      </w:r>
    </w:p>
  </w:footnote>
  <w:footnote w:id="5">
    <w:p w:rsidR="000673F5" w:rsidRPr="0035771E" w:rsidRDefault="000673F5" w:rsidP="00023DDC">
      <w:pPr>
        <w:pStyle w:val="FootnoteText"/>
        <w:spacing w:line="240" w:lineRule="atLeast"/>
        <w:rPr>
          <w:i/>
          <w:szCs w:val="18"/>
        </w:rPr>
      </w:pPr>
      <w:r w:rsidRPr="0035771E">
        <w:rPr>
          <w:szCs w:val="18"/>
        </w:rPr>
        <w:tab/>
      </w:r>
      <w:r w:rsidRPr="00D11809">
        <w:rPr>
          <w:rStyle w:val="FootnoteReference"/>
          <w:szCs w:val="18"/>
        </w:rPr>
        <w:footnoteRef/>
      </w:r>
      <w:r w:rsidRPr="00D11809">
        <w:rPr>
          <w:szCs w:val="18"/>
        </w:rPr>
        <w:tab/>
        <w:t>See “</w:t>
      </w:r>
      <w:r w:rsidRPr="0035771E">
        <w:rPr>
          <w:rStyle w:val="Emphasis"/>
          <w:i w:val="0"/>
          <w:color w:val="000000"/>
          <w:szCs w:val="18"/>
        </w:rPr>
        <w:t xml:space="preserve">The Role of the United Nations in Combatting Discrimination and Violence against Individuals Based on Sexual Orientation and Gender Identity”, OHCHR, 2014. </w:t>
      </w:r>
    </w:p>
  </w:footnote>
  <w:footnote w:id="6">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341B9B">
        <w:rPr>
          <w:szCs w:val="18"/>
        </w:rPr>
        <w:t xml:space="preserve">See </w:t>
      </w:r>
      <w:r w:rsidRPr="0035771E">
        <w:rPr>
          <w:szCs w:val="18"/>
        </w:rPr>
        <w:t xml:space="preserve">CCPR/C/KGZ/CO/2, para. </w:t>
      </w:r>
      <w:r w:rsidRPr="00D11809">
        <w:rPr>
          <w:szCs w:val="18"/>
        </w:rPr>
        <w:t>9, A/HRC/20/22/Add.2</w:t>
      </w:r>
      <w:r w:rsidRPr="0035771E">
        <w:rPr>
          <w:szCs w:val="18"/>
        </w:rPr>
        <w:t>, paras. 5, 55</w:t>
      </w:r>
      <w:r w:rsidR="00734F84">
        <w:rPr>
          <w:szCs w:val="18"/>
        </w:rPr>
        <w:t>,</w:t>
      </w:r>
      <w:r w:rsidR="00734F84" w:rsidRPr="0035771E" w:rsidDel="00734F84">
        <w:rPr>
          <w:szCs w:val="18"/>
        </w:rPr>
        <w:t xml:space="preserve"> </w:t>
      </w:r>
      <w:r w:rsidRPr="0035771E">
        <w:rPr>
          <w:szCs w:val="18"/>
        </w:rPr>
        <w:t xml:space="preserve">76, CCPR/C/MWI/CO/1/Add.1, para. 10. </w:t>
      </w:r>
    </w:p>
  </w:footnote>
  <w:footnote w:id="7">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F02549">
        <w:rPr>
          <w:szCs w:val="18"/>
        </w:rPr>
        <w:t xml:space="preserve">See </w:t>
      </w:r>
      <w:r w:rsidRPr="0035771E">
        <w:rPr>
          <w:szCs w:val="18"/>
        </w:rPr>
        <w:t xml:space="preserve">CCPR/C/MWI/CO/1, para. </w:t>
      </w:r>
      <w:r w:rsidRPr="00D11809">
        <w:rPr>
          <w:szCs w:val="18"/>
        </w:rPr>
        <w:t>7</w:t>
      </w:r>
      <w:r w:rsidR="002F4C99">
        <w:rPr>
          <w:szCs w:val="18"/>
        </w:rPr>
        <w:t>,</w:t>
      </w:r>
      <w:r w:rsidRPr="00D11809">
        <w:rPr>
          <w:szCs w:val="18"/>
        </w:rPr>
        <w:t xml:space="preserve"> A/HRC/26/30/Add.3</w:t>
      </w:r>
      <w:r w:rsidRPr="0035771E">
        <w:rPr>
          <w:szCs w:val="18"/>
        </w:rPr>
        <w:t>, para. 88.</w:t>
      </w:r>
    </w:p>
  </w:footnote>
  <w:footnote w:id="8">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D65670">
        <w:rPr>
          <w:szCs w:val="18"/>
        </w:rPr>
        <w:t xml:space="preserve">See </w:t>
      </w:r>
      <w:r w:rsidRPr="00D11809">
        <w:rPr>
          <w:szCs w:val="18"/>
        </w:rPr>
        <w:t>CCPR/C/MRT/CO/1</w:t>
      </w:r>
      <w:r w:rsidRPr="0035771E">
        <w:rPr>
          <w:szCs w:val="18"/>
        </w:rPr>
        <w:t>, para. 8</w:t>
      </w:r>
      <w:r w:rsidR="002F4C99">
        <w:rPr>
          <w:szCs w:val="18"/>
        </w:rPr>
        <w:t>,</w:t>
      </w:r>
      <w:r w:rsidRPr="0035771E">
        <w:rPr>
          <w:szCs w:val="18"/>
        </w:rPr>
        <w:t xml:space="preserve"> A/67/275, paras</w:t>
      </w:r>
      <w:r w:rsidR="00A27FA3">
        <w:rPr>
          <w:szCs w:val="18"/>
        </w:rPr>
        <w:t>.</w:t>
      </w:r>
      <w:r w:rsidRPr="0035771E">
        <w:rPr>
          <w:szCs w:val="18"/>
        </w:rPr>
        <w:t xml:space="preserve"> 36-38.</w:t>
      </w:r>
    </w:p>
  </w:footnote>
  <w:footnote w:id="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szCs w:val="18"/>
        </w:rPr>
        <w:t>See also UNHCR, Guidelines on international protection No. 9, HCR/GIP/12/09,</w:t>
      </w:r>
      <w:r w:rsidR="00F02223" w:rsidRPr="0035771E">
        <w:rPr>
          <w:szCs w:val="18"/>
        </w:rPr>
        <w:t xml:space="preserve"> 23 October 2012</w:t>
      </w:r>
      <w:r w:rsidR="00F02223">
        <w:rPr>
          <w:szCs w:val="18"/>
        </w:rPr>
        <w:t>;</w:t>
      </w:r>
      <w:r w:rsidRPr="0035771E">
        <w:rPr>
          <w:szCs w:val="18"/>
        </w:rPr>
        <w:t xml:space="preserve"> CCPR/C/108/D/2</w:t>
      </w:r>
      <w:r w:rsidRPr="00F02223">
        <w:rPr>
          <w:szCs w:val="18"/>
        </w:rPr>
        <w:t>149/2012</w:t>
      </w:r>
      <w:r w:rsidRPr="0035771E">
        <w:rPr>
          <w:szCs w:val="18"/>
        </w:rPr>
        <w:t>.</w:t>
      </w:r>
    </w:p>
  </w:footnote>
  <w:footnote w:id="1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4036D2">
        <w:rPr>
          <w:szCs w:val="18"/>
        </w:rPr>
        <w:t xml:space="preserve">See </w:t>
      </w:r>
      <w:r w:rsidRPr="00D11809">
        <w:rPr>
          <w:szCs w:val="18"/>
        </w:rPr>
        <w:t>CAT/C/GC/3</w:t>
      </w:r>
      <w:r w:rsidRPr="0035771E">
        <w:rPr>
          <w:szCs w:val="18"/>
        </w:rPr>
        <w:t>, para. 39.</w:t>
      </w:r>
    </w:p>
  </w:footnote>
  <w:footnote w:id="1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4036D2">
        <w:rPr>
          <w:szCs w:val="18"/>
        </w:rPr>
        <w:t xml:space="preserve">See </w:t>
      </w:r>
      <w:r w:rsidRPr="00D11809">
        <w:rPr>
          <w:szCs w:val="18"/>
        </w:rPr>
        <w:t>CAT/C/GC/2</w:t>
      </w:r>
      <w:r w:rsidRPr="0035771E">
        <w:rPr>
          <w:szCs w:val="18"/>
        </w:rPr>
        <w:t>, paras. 15-19.</w:t>
      </w:r>
    </w:p>
  </w:footnote>
  <w:footnote w:id="12">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4036D2">
        <w:rPr>
          <w:szCs w:val="18"/>
        </w:rPr>
        <w:t xml:space="preserve">See </w:t>
      </w:r>
      <w:r w:rsidRPr="00D11809">
        <w:rPr>
          <w:szCs w:val="18"/>
        </w:rPr>
        <w:t>A/HRC/22/53</w:t>
      </w:r>
      <w:r w:rsidR="004036D2">
        <w:rPr>
          <w:szCs w:val="18"/>
        </w:rPr>
        <w:t>,</w:t>
      </w:r>
      <w:r w:rsidRPr="00D11809">
        <w:rPr>
          <w:szCs w:val="18"/>
        </w:rPr>
        <w:t xml:space="preserve"> paras. 76-79, 88, CRC/C/CHE/CO/2-4</w:t>
      </w:r>
      <w:r w:rsidR="004036D2">
        <w:rPr>
          <w:szCs w:val="18"/>
        </w:rPr>
        <w:t>,</w:t>
      </w:r>
      <w:r w:rsidRPr="00D11809">
        <w:rPr>
          <w:szCs w:val="18"/>
        </w:rPr>
        <w:t xml:space="preserve"> paras. 42-43</w:t>
      </w:r>
      <w:r w:rsidR="006F5BE5">
        <w:rPr>
          <w:szCs w:val="18"/>
        </w:rPr>
        <w:t>,</w:t>
      </w:r>
      <w:r w:rsidRPr="00D11809">
        <w:rPr>
          <w:szCs w:val="18"/>
        </w:rPr>
        <w:t xml:space="preserve"> CAT/C/DEU/CO/5</w:t>
      </w:r>
      <w:r w:rsidR="004036D2">
        <w:rPr>
          <w:szCs w:val="18"/>
        </w:rPr>
        <w:t>,</w:t>
      </w:r>
      <w:r w:rsidRPr="00D11809">
        <w:rPr>
          <w:szCs w:val="18"/>
        </w:rPr>
        <w:t xml:space="preserve"> para. 20.</w:t>
      </w:r>
    </w:p>
  </w:footnote>
  <w:footnote w:id="1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szCs w:val="18"/>
        </w:rPr>
        <w:t>See CCPR/C/50/D/488/1992, paras. 8.3-10, E/C.12/IRN/CO/2, para. 7, CEDAW/C/UGA/CO/7, paras. 43-44, CRC/C/GAM/CO/2-3, paras. 29-30, A/HRC/14/20 paras. 17-26</w:t>
      </w:r>
      <w:r w:rsidR="006F5BE5">
        <w:rPr>
          <w:szCs w:val="18"/>
        </w:rPr>
        <w:t>,</w:t>
      </w:r>
      <w:r w:rsidRPr="0035771E">
        <w:rPr>
          <w:szCs w:val="18"/>
        </w:rPr>
        <w:t xml:space="preserve"> CCPR/C/KWT/CO/2</w:t>
      </w:r>
      <w:r w:rsidR="00B714BC">
        <w:rPr>
          <w:szCs w:val="18"/>
        </w:rPr>
        <w:t>,</w:t>
      </w:r>
      <w:r w:rsidRPr="0035771E">
        <w:rPr>
          <w:szCs w:val="18"/>
        </w:rPr>
        <w:t xml:space="preserve"> para. 30.</w:t>
      </w:r>
    </w:p>
  </w:footnote>
  <w:footnote w:id="14">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2E1AC4">
        <w:rPr>
          <w:szCs w:val="18"/>
        </w:rPr>
        <w:t xml:space="preserve">See </w:t>
      </w:r>
      <w:r w:rsidRPr="00D11809">
        <w:rPr>
          <w:szCs w:val="18"/>
        </w:rPr>
        <w:t>CCPR/C/GC/35, paras. 3</w:t>
      </w:r>
      <w:r w:rsidR="00734F84">
        <w:rPr>
          <w:szCs w:val="18"/>
        </w:rPr>
        <w:t>,</w:t>
      </w:r>
      <w:r w:rsidRPr="00D11809">
        <w:rPr>
          <w:szCs w:val="18"/>
        </w:rPr>
        <w:t xml:space="preserve"> 17</w:t>
      </w:r>
      <w:r w:rsidR="00734F84">
        <w:rPr>
          <w:szCs w:val="18"/>
        </w:rPr>
        <w:t>,</w:t>
      </w:r>
      <w:r w:rsidRPr="00D11809">
        <w:rPr>
          <w:szCs w:val="18"/>
        </w:rPr>
        <w:t xml:space="preserve"> A/HRC/4/40/Add.1</w:t>
      </w:r>
      <w:r w:rsidR="002E1AC4">
        <w:rPr>
          <w:szCs w:val="18"/>
        </w:rPr>
        <w:t>,</w:t>
      </w:r>
      <w:r w:rsidRPr="00D11809">
        <w:rPr>
          <w:szCs w:val="18"/>
        </w:rPr>
        <w:t xml:space="preserve"> </w:t>
      </w:r>
      <w:r w:rsidR="002E1AC4">
        <w:rPr>
          <w:szCs w:val="18"/>
        </w:rPr>
        <w:t>o</w:t>
      </w:r>
      <w:r w:rsidRPr="00D11809">
        <w:rPr>
          <w:szCs w:val="18"/>
        </w:rPr>
        <w:t>pinion 22/2006</w:t>
      </w:r>
      <w:r w:rsidR="002E1AC4">
        <w:rPr>
          <w:szCs w:val="18"/>
        </w:rPr>
        <w:t>,</w:t>
      </w:r>
      <w:r w:rsidRPr="00D11809">
        <w:rPr>
          <w:szCs w:val="18"/>
        </w:rPr>
        <w:t xml:space="preserve"> para. 19</w:t>
      </w:r>
      <w:r w:rsidR="002E1AC4">
        <w:rPr>
          <w:szCs w:val="18"/>
        </w:rPr>
        <w:t>;</w:t>
      </w:r>
      <w:r w:rsidRPr="00D11809">
        <w:rPr>
          <w:szCs w:val="18"/>
        </w:rPr>
        <w:t xml:space="preserve"> A/HRC/22/44</w:t>
      </w:r>
      <w:r w:rsidR="002E1AC4">
        <w:rPr>
          <w:szCs w:val="18"/>
        </w:rPr>
        <w:t>,</w:t>
      </w:r>
      <w:r w:rsidRPr="00D11809">
        <w:rPr>
          <w:szCs w:val="18"/>
        </w:rPr>
        <w:t xml:space="preserve"> para. 38.</w:t>
      </w:r>
    </w:p>
  </w:footnote>
  <w:footnote w:id="15">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4D3BE1">
        <w:rPr>
          <w:szCs w:val="18"/>
        </w:rPr>
        <w:t xml:space="preserve">See </w:t>
      </w:r>
      <w:r w:rsidRPr="00D11809">
        <w:rPr>
          <w:szCs w:val="18"/>
        </w:rPr>
        <w:t>CCPR/C/PER/CO</w:t>
      </w:r>
      <w:r w:rsidRPr="0035771E">
        <w:rPr>
          <w:szCs w:val="18"/>
        </w:rPr>
        <w:t>/5, para. 8, E/C.12/GC/20, paras. 7-11</w:t>
      </w:r>
      <w:r w:rsidR="006F5BE5">
        <w:rPr>
          <w:szCs w:val="18"/>
        </w:rPr>
        <w:t>,</w:t>
      </w:r>
      <w:r w:rsidRPr="0035771E">
        <w:rPr>
          <w:szCs w:val="18"/>
        </w:rPr>
        <w:t xml:space="preserve"> CEDAW/C/GC/28, para. 18.</w:t>
      </w:r>
    </w:p>
  </w:footnote>
  <w:footnote w:id="16">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EB3529">
        <w:rPr>
          <w:szCs w:val="18"/>
        </w:rPr>
        <w:t xml:space="preserve">See </w:t>
      </w:r>
      <w:r w:rsidRPr="00D11809">
        <w:rPr>
          <w:szCs w:val="18"/>
        </w:rPr>
        <w:t>E/C.12/GC/20</w:t>
      </w:r>
      <w:r w:rsidRPr="0035771E">
        <w:rPr>
          <w:szCs w:val="18"/>
        </w:rPr>
        <w:t>, para. 32 and, 39, CEDAW/C/CRI/CO/5-6, para. 40, CRC/C/AUS/CO/4, paras. 29-30</w:t>
      </w:r>
      <w:r w:rsidR="006F5BE5">
        <w:rPr>
          <w:szCs w:val="18"/>
        </w:rPr>
        <w:t>,</w:t>
      </w:r>
      <w:r w:rsidRPr="0035771E">
        <w:rPr>
          <w:szCs w:val="18"/>
        </w:rPr>
        <w:t xml:space="preserve"> CRC/C/CHE/CO/2-4, para. 25</w:t>
      </w:r>
      <w:r w:rsidR="00EB3529">
        <w:rPr>
          <w:szCs w:val="18"/>
        </w:rPr>
        <w:t>.</w:t>
      </w:r>
    </w:p>
  </w:footnote>
  <w:footnote w:id="17">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926DA5">
        <w:rPr>
          <w:szCs w:val="18"/>
        </w:rPr>
        <w:t xml:space="preserve">See </w:t>
      </w:r>
      <w:r w:rsidRPr="00D11809">
        <w:rPr>
          <w:szCs w:val="18"/>
        </w:rPr>
        <w:t>E/C.12/GC/20</w:t>
      </w:r>
      <w:r w:rsidRPr="0035771E">
        <w:rPr>
          <w:szCs w:val="18"/>
        </w:rPr>
        <w:t>, para. 11, 27 and 32, E/C.12/IDN/CO/1, para. 6</w:t>
      </w:r>
      <w:r w:rsidR="006F5BE5">
        <w:rPr>
          <w:szCs w:val="18"/>
        </w:rPr>
        <w:t>,</w:t>
      </w:r>
      <w:r w:rsidRPr="0035771E">
        <w:rPr>
          <w:szCs w:val="18"/>
        </w:rPr>
        <w:t xml:space="preserve"> CRC/C/IRQ/CO/2-4, paras</w:t>
      </w:r>
      <w:r w:rsidR="00926DA5">
        <w:rPr>
          <w:szCs w:val="18"/>
        </w:rPr>
        <w:t>.</w:t>
      </w:r>
      <w:r w:rsidRPr="0035771E">
        <w:rPr>
          <w:szCs w:val="18"/>
        </w:rPr>
        <w:t xml:space="preserve"> 19-20.</w:t>
      </w:r>
    </w:p>
  </w:footnote>
  <w:footnote w:id="18">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DA1F39">
        <w:rPr>
          <w:szCs w:val="18"/>
        </w:rPr>
        <w:t xml:space="preserve">See </w:t>
      </w:r>
      <w:r w:rsidRPr="0035771E">
        <w:rPr>
          <w:szCs w:val="18"/>
        </w:rPr>
        <w:t xml:space="preserve">CRC/C/RUS/CO/4-5, paras. </w:t>
      </w:r>
      <w:r w:rsidRPr="00D11809">
        <w:rPr>
          <w:szCs w:val="18"/>
        </w:rPr>
        <w:t>24</w:t>
      </w:r>
      <w:r w:rsidRPr="0035771E">
        <w:rPr>
          <w:szCs w:val="18"/>
        </w:rPr>
        <w:t>-25, 55-56, 59-60, CRC/C/GC/15, paras. 8, 31</w:t>
      </w:r>
      <w:r w:rsidR="00734F84">
        <w:rPr>
          <w:szCs w:val="18"/>
        </w:rPr>
        <w:t>,</w:t>
      </w:r>
      <w:r w:rsidRPr="0035771E">
        <w:rPr>
          <w:szCs w:val="18"/>
        </w:rPr>
        <w:t xml:space="preserve"> 60.</w:t>
      </w:r>
    </w:p>
  </w:footnote>
  <w:footnote w:id="1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DA1F39">
        <w:rPr>
          <w:szCs w:val="18"/>
        </w:rPr>
        <w:t xml:space="preserve">See </w:t>
      </w:r>
      <w:r w:rsidRPr="0035771E">
        <w:rPr>
          <w:szCs w:val="18"/>
        </w:rPr>
        <w:t xml:space="preserve">CCPR/C/IRL/CO/3, para. </w:t>
      </w:r>
      <w:r w:rsidRPr="00D11809">
        <w:rPr>
          <w:szCs w:val="18"/>
        </w:rPr>
        <w:t>8, CCPR/C/IRL/CO/4</w:t>
      </w:r>
      <w:r w:rsidRPr="0035771E">
        <w:rPr>
          <w:szCs w:val="18"/>
        </w:rPr>
        <w:t>, para. 7, CCPR/C/UKR/CO/7, para. 10</w:t>
      </w:r>
      <w:r w:rsidR="006F5BE5">
        <w:rPr>
          <w:szCs w:val="18"/>
        </w:rPr>
        <w:t>,</w:t>
      </w:r>
      <w:r w:rsidRPr="0035771E">
        <w:rPr>
          <w:szCs w:val="18"/>
        </w:rPr>
        <w:t xml:space="preserve"> CEDAW/C/NLD/CO/5, paras. 46-47.</w:t>
      </w:r>
    </w:p>
  </w:footnote>
  <w:footnote w:id="2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DA1F39">
        <w:rPr>
          <w:szCs w:val="18"/>
        </w:rPr>
        <w:t xml:space="preserve">See </w:t>
      </w:r>
      <w:r w:rsidRPr="0035771E">
        <w:rPr>
          <w:szCs w:val="18"/>
        </w:rPr>
        <w:t xml:space="preserve">CCPR/C/ALB/CO/2, para. </w:t>
      </w:r>
      <w:r w:rsidRPr="00D11809">
        <w:rPr>
          <w:szCs w:val="18"/>
        </w:rPr>
        <w:t>8, CRC/C/TZA/CO/3-5</w:t>
      </w:r>
      <w:r w:rsidRPr="0035771E">
        <w:rPr>
          <w:szCs w:val="18"/>
        </w:rPr>
        <w:t>, paras. 55-56, CAT/C/RUS/CO/5, para. 15, CEDAW/C/CRI/CO/5-6, para. 41, CCPR/C/UKR/CO/7, para. 8</w:t>
      </w:r>
      <w:r w:rsidR="004F6196">
        <w:rPr>
          <w:szCs w:val="18"/>
        </w:rPr>
        <w:t>,</w:t>
      </w:r>
      <w:r w:rsidR="00DA1F39">
        <w:rPr>
          <w:szCs w:val="18"/>
        </w:rPr>
        <w:t xml:space="preserve"> </w:t>
      </w:r>
      <w:r w:rsidRPr="0035771E">
        <w:rPr>
          <w:szCs w:val="18"/>
        </w:rPr>
        <w:t>CCPR/C/21/Rev.1/Add.13.</w:t>
      </w:r>
    </w:p>
  </w:footnote>
  <w:footnote w:id="2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7E1E3C">
        <w:rPr>
          <w:szCs w:val="18"/>
        </w:rPr>
        <w:t xml:space="preserve">See </w:t>
      </w:r>
      <w:r w:rsidRPr="0035771E">
        <w:rPr>
          <w:szCs w:val="18"/>
        </w:rPr>
        <w:t xml:space="preserve">E/C.12/BGR/CO/4-5, para. </w:t>
      </w:r>
      <w:r w:rsidRPr="00D11809">
        <w:rPr>
          <w:szCs w:val="18"/>
        </w:rPr>
        <w:t>17, E/C.12/SVK/CO/2</w:t>
      </w:r>
      <w:r w:rsidRPr="0035771E">
        <w:rPr>
          <w:szCs w:val="18"/>
        </w:rPr>
        <w:t>, para. 10</w:t>
      </w:r>
      <w:r w:rsidR="004F6196">
        <w:rPr>
          <w:szCs w:val="18"/>
        </w:rPr>
        <w:t>,</w:t>
      </w:r>
      <w:r w:rsidRPr="0035771E">
        <w:rPr>
          <w:szCs w:val="18"/>
        </w:rPr>
        <w:t xml:space="preserve"> CCPR/C/JPN/CO/5, para. 29.</w:t>
      </w:r>
    </w:p>
  </w:footnote>
  <w:footnote w:id="22">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7E1E3C">
        <w:rPr>
          <w:szCs w:val="18"/>
        </w:rPr>
        <w:t xml:space="preserve">See </w:t>
      </w:r>
      <w:r w:rsidRPr="00D11809">
        <w:rPr>
          <w:szCs w:val="18"/>
        </w:rPr>
        <w:t>CRC/C/GC/15, para. 8.</w:t>
      </w:r>
    </w:p>
  </w:footnote>
  <w:footnote w:id="2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A009D8">
        <w:rPr>
          <w:szCs w:val="18"/>
        </w:rPr>
        <w:t xml:space="preserve">See </w:t>
      </w:r>
      <w:r w:rsidRPr="00D11809">
        <w:rPr>
          <w:szCs w:val="18"/>
        </w:rPr>
        <w:t>CCPR/C/GC/34</w:t>
      </w:r>
      <w:r w:rsidRPr="0035771E">
        <w:rPr>
          <w:szCs w:val="18"/>
        </w:rPr>
        <w:t>, para. 26, CCPR/C/GEO/CO/4, para. 8</w:t>
      </w:r>
      <w:r w:rsidR="00A009D8">
        <w:rPr>
          <w:szCs w:val="18"/>
        </w:rPr>
        <w:t>,</w:t>
      </w:r>
      <w:r w:rsidRPr="0035771E">
        <w:rPr>
          <w:szCs w:val="18"/>
        </w:rPr>
        <w:t xml:space="preserve"> A/HRC/25/55/Add.3, para. 364</w:t>
      </w:r>
      <w:r w:rsidR="004F6196">
        <w:rPr>
          <w:szCs w:val="18"/>
        </w:rPr>
        <w:t>,</w:t>
      </w:r>
      <w:r w:rsidRPr="0035771E">
        <w:rPr>
          <w:szCs w:val="18"/>
        </w:rPr>
        <w:t xml:space="preserve"> A/HRC/26/29</w:t>
      </w:r>
      <w:r w:rsidR="00A009D8">
        <w:rPr>
          <w:szCs w:val="18"/>
        </w:rPr>
        <w:t>.</w:t>
      </w:r>
    </w:p>
  </w:footnote>
  <w:footnote w:id="24">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414724">
        <w:rPr>
          <w:szCs w:val="18"/>
        </w:rPr>
        <w:t xml:space="preserve">See </w:t>
      </w:r>
      <w:r w:rsidRPr="00D11809">
        <w:rPr>
          <w:szCs w:val="18"/>
        </w:rPr>
        <w:t>A/HRC/23/36/Add.2</w:t>
      </w:r>
      <w:r w:rsidRPr="0035771E">
        <w:rPr>
          <w:szCs w:val="18"/>
        </w:rPr>
        <w:t>, para. 97, CEDAW/C/DEU/CO/6, para. 61</w:t>
      </w:r>
      <w:r w:rsidR="004F6196">
        <w:rPr>
          <w:szCs w:val="18"/>
        </w:rPr>
        <w:t>,</w:t>
      </w:r>
      <w:r w:rsidRPr="0035771E">
        <w:rPr>
          <w:szCs w:val="18"/>
        </w:rPr>
        <w:t xml:space="preserve"> CCPR/C/IRL/CO/4</w:t>
      </w:r>
      <w:r w:rsidR="00414724">
        <w:rPr>
          <w:szCs w:val="18"/>
        </w:rPr>
        <w:t>,</w:t>
      </w:r>
      <w:r w:rsidRPr="0035771E">
        <w:rPr>
          <w:szCs w:val="18"/>
        </w:rPr>
        <w:t xml:space="preserve"> para. 7.</w:t>
      </w:r>
    </w:p>
  </w:footnote>
  <w:footnote w:id="25">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414724">
        <w:rPr>
          <w:szCs w:val="18"/>
        </w:rPr>
        <w:t xml:space="preserve">See </w:t>
      </w:r>
      <w:r w:rsidRPr="00D11809">
        <w:rPr>
          <w:szCs w:val="18"/>
        </w:rPr>
        <w:t>A/</w:t>
      </w:r>
      <w:r w:rsidRPr="0035771E">
        <w:rPr>
          <w:szCs w:val="18"/>
        </w:rPr>
        <w:t>69/365, paras. 24, 76</w:t>
      </w:r>
      <w:r w:rsidR="00B30660">
        <w:rPr>
          <w:szCs w:val="18"/>
        </w:rPr>
        <w:t>,</w:t>
      </w:r>
      <w:r w:rsidRPr="0035771E">
        <w:rPr>
          <w:szCs w:val="18"/>
        </w:rPr>
        <w:t xml:space="preserve"> 87-91</w:t>
      </w:r>
      <w:r w:rsidR="00414724">
        <w:rPr>
          <w:szCs w:val="18"/>
        </w:rPr>
        <w:t>,</w:t>
      </w:r>
      <w:r w:rsidRPr="0035771E">
        <w:rPr>
          <w:szCs w:val="18"/>
        </w:rPr>
        <w:t xml:space="preserve"> A/HRC/26/39/Add.2, para. 110(a)</w:t>
      </w:r>
      <w:r w:rsidR="00414724">
        <w:rPr>
          <w:szCs w:val="18"/>
        </w:rPr>
        <w:t>.</w:t>
      </w:r>
    </w:p>
  </w:footnote>
  <w:footnote w:id="26">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t>See also A/HRC/19/41, paras. 20-39.</w:t>
      </w:r>
    </w:p>
  </w:footnote>
  <w:footnote w:id="27">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A15580">
        <w:rPr>
          <w:szCs w:val="18"/>
        </w:rPr>
        <w:t xml:space="preserve">See </w:t>
      </w:r>
      <w:r w:rsidRPr="0035771E">
        <w:rPr>
          <w:szCs w:val="18"/>
        </w:rPr>
        <w:t xml:space="preserve">A/HRC/26/50, paras. </w:t>
      </w:r>
      <w:r w:rsidRPr="00D11809">
        <w:rPr>
          <w:szCs w:val="18"/>
        </w:rPr>
        <w:t>10, 14</w:t>
      </w:r>
      <w:r w:rsidR="00A15580">
        <w:rPr>
          <w:szCs w:val="18"/>
        </w:rPr>
        <w:t>-</w:t>
      </w:r>
      <w:r w:rsidRPr="00D11809">
        <w:rPr>
          <w:szCs w:val="18"/>
        </w:rPr>
        <w:t>15</w:t>
      </w:r>
      <w:r w:rsidRPr="0035771E">
        <w:rPr>
          <w:szCs w:val="18"/>
        </w:rPr>
        <w:t>, A/HRC/28/66, para. 11</w:t>
      </w:r>
      <w:r w:rsidRPr="00D11809">
        <w:rPr>
          <w:szCs w:val="18"/>
        </w:rPr>
        <w:t xml:space="preserve">. </w:t>
      </w:r>
    </w:p>
  </w:footnote>
  <w:footnote w:id="28">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FD7D38">
        <w:rPr>
          <w:szCs w:val="18"/>
        </w:rPr>
        <w:t xml:space="preserve">See </w:t>
      </w:r>
      <w:r w:rsidRPr="0035771E">
        <w:rPr>
          <w:szCs w:val="18"/>
        </w:rPr>
        <w:t>A/HRC/26/38/Add.1, para. 19.</w:t>
      </w:r>
    </w:p>
  </w:footnote>
  <w:footnote w:id="2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FD7D38">
        <w:rPr>
          <w:szCs w:val="18"/>
        </w:rPr>
        <w:t xml:space="preserve">See </w:t>
      </w:r>
      <w:r w:rsidRPr="0035771E">
        <w:rPr>
          <w:szCs w:val="18"/>
        </w:rPr>
        <w:t xml:space="preserve">A/HRC/20/16, paras. </w:t>
      </w:r>
      <w:r w:rsidRPr="00D11809">
        <w:rPr>
          <w:szCs w:val="18"/>
        </w:rPr>
        <w:t>71</w:t>
      </w:r>
      <w:r w:rsidR="00FD7D38">
        <w:rPr>
          <w:szCs w:val="18"/>
        </w:rPr>
        <w:t>-</w:t>
      </w:r>
      <w:r w:rsidRPr="0035771E">
        <w:rPr>
          <w:szCs w:val="18"/>
        </w:rPr>
        <w:t>72</w:t>
      </w:r>
      <w:r w:rsidR="00FD7D38">
        <w:rPr>
          <w:szCs w:val="18"/>
        </w:rPr>
        <w:t>, and</w:t>
      </w:r>
      <w:r w:rsidRPr="00D11809">
        <w:rPr>
          <w:szCs w:val="18"/>
        </w:rPr>
        <w:t xml:space="preserve"> “An Overview of Violence against LGBTI Persons”, </w:t>
      </w:r>
      <w:r w:rsidRPr="0035771E">
        <w:rPr>
          <w:szCs w:val="18"/>
        </w:rPr>
        <w:t>annex – press release 153/14, Inter-American Commission on Human Rights (IACHR), 2014, p. 3.</w:t>
      </w:r>
    </w:p>
  </w:footnote>
  <w:footnote w:id="3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FD7D38">
        <w:rPr>
          <w:szCs w:val="18"/>
        </w:rPr>
        <w:t xml:space="preserve">See </w:t>
      </w:r>
      <w:r w:rsidRPr="0035771E">
        <w:rPr>
          <w:szCs w:val="18"/>
        </w:rPr>
        <w:t>A/HRC/26/36/Add.1, paras. 85-87.</w:t>
      </w:r>
    </w:p>
  </w:footnote>
  <w:footnote w:id="3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3F764C">
        <w:rPr>
          <w:szCs w:val="18"/>
        </w:rPr>
        <w:t xml:space="preserve">See </w:t>
      </w:r>
      <w:r w:rsidRPr="0035771E">
        <w:rPr>
          <w:szCs w:val="18"/>
        </w:rPr>
        <w:t xml:space="preserve">CCPR/C/BOL/CO/3, para. </w:t>
      </w:r>
      <w:r w:rsidRPr="00F10D1F">
        <w:rPr>
          <w:szCs w:val="18"/>
          <w:lang w:val="fr-FR"/>
        </w:rPr>
        <w:t>7</w:t>
      </w:r>
      <w:r w:rsidR="003F764C" w:rsidRPr="00F10D1F">
        <w:rPr>
          <w:szCs w:val="18"/>
          <w:lang w:val="fr-FR"/>
        </w:rPr>
        <w:t>,</w:t>
      </w:r>
      <w:r w:rsidRPr="00F10D1F">
        <w:rPr>
          <w:szCs w:val="18"/>
          <w:lang w:val="fr-FR"/>
        </w:rPr>
        <w:t xml:space="preserve"> A/HRC/26/36/Add.1, paras. 85-88, CAT/C/GC/3, paras. </w:t>
      </w:r>
      <w:r w:rsidRPr="0035771E">
        <w:rPr>
          <w:szCs w:val="18"/>
        </w:rPr>
        <w:t>8</w:t>
      </w:r>
      <w:r w:rsidR="005964B7">
        <w:rPr>
          <w:szCs w:val="18"/>
        </w:rPr>
        <w:t>,</w:t>
      </w:r>
      <w:r w:rsidRPr="0035771E">
        <w:rPr>
          <w:szCs w:val="18"/>
        </w:rPr>
        <w:t xml:space="preserve"> 32. </w:t>
      </w:r>
    </w:p>
  </w:footnote>
  <w:footnote w:id="32">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F53409">
        <w:rPr>
          <w:szCs w:val="18"/>
        </w:rPr>
        <w:t xml:space="preserve">See </w:t>
      </w:r>
      <w:r w:rsidRPr="0035771E">
        <w:rPr>
          <w:szCs w:val="18"/>
        </w:rPr>
        <w:t>A/HRC/23/49/Add.4, para.</w:t>
      </w:r>
      <w:r w:rsidR="00F53409">
        <w:rPr>
          <w:szCs w:val="18"/>
        </w:rPr>
        <w:t xml:space="preserve"> </w:t>
      </w:r>
      <w:r w:rsidRPr="0035771E">
        <w:rPr>
          <w:szCs w:val="18"/>
        </w:rPr>
        <w:t>23,</w:t>
      </w:r>
      <w:r w:rsidR="00F53409">
        <w:rPr>
          <w:szCs w:val="18"/>
        </w:rPr>
        <w:t xml:space="preserve"> </w:t>
      </w:r>
      <w:r w:rsidRPr="0035771E">
        <w:rPr>
          <w:szCs w:val="18"/>
        </w:rPr>
        <w:t>A/HRC/26/36/Add.1, para. 86.</w:t>
      </w:r>
    </w:p>
  </w:footnote>
  <w:footnote w:id="3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F53409">
        <w:rPr>
          <w:szCs w:val="18"/>
        </w:rPr>
        <w:t xml:space="preserve">See </w:t>
      </w:r>
      <w:r w:rsidRPr="0035771E">
        <w:rPr>
          <w:szCs w:val="18"/>
        </w:rPr>
        <w:t>CCPR/C/URY/CO/5, para. 12</w:t>
      </w:r>
      <w:r w:rsidR="00F53409">
        <w:rPr>
          <w:szCs w:val="18"/>
        </w:rPr>
        <w:t xml:space="preserve">, </w:t>
      </w:r>
      <w:r w:rsidRPr="0035771E">
        <w:rPr>
          <w:szCs w:val="18"/>
        </w:rPr>
        <w:t xml:space="preserve">A/HRC/20/16, para. 71. </w:t>
      </w:r>
    </w:p>
  </w:footnote>
  <w:footnote w:id="34">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r>
      <w:r w:rsidR="00F53409">
        <w:rPr>
          <w:szCs w:val="18"/>
        </w:rPr>
        <w:t xml:space="preserve">See </w:t>
      </w:r>
      <w:r w:rsidRPr="00D11809">
        <w:rPr>
          <w:szCs w:val="18"/>
        </w:rPr>
        <w:t>A/HRC/20/16</w:t>
      </w:r>
      <w:r w:rsidRPr="0035771E">
        <w:rPr>
          <w:szCs w:val="18"/>
        </w:rPr>
        <w:t>, paras. 18</w:t>
      </w:r>
      <w:r w:rsidR="005964B7">
        <w:rPr>
          <w:szCs w:val="18"/>
        </w:rPr>
        <w:t>,</w:t>
      </w:r>
      <w:r w:rsidRPr="0035771E">
        <w:rPr>
          <w:szCs w:val="18"/>
        </w:rPr>
        <w:t xml:space="preserve"> 71.</w:t>
      </w:r>
    </w:p>
  </w:footnote>
  <w:footnote w:id="35">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521352">
        <w:rPr>
          <w:szCs w:val="18"/>
        </w:rPr>
        <w:t xml:space="preserve">See </w:t>
      </w:r>
      <w:r w:rsidRPr="0035771E">
        <w:rPr>
          <w:szCs w:val="18"/>
        </w:rPr>
        <w:t>CCPR/C/GTM/CO/3</w:t>
      </w:r>
      <w:r w:rsidR="00521352">
        <w:rPr>
          <w:szCs w:val="18"/>
        </w:rPr>
        <w:t>,</w:t>
      </w:r>
      <w:r w:rsidRPr="00521352">
        <w:rPr>
          <w:szCs w:val="18"/>
        </w:rPr>
        <w:t xml:space="preserve"> para</w:t>
      </w:r>
      <w:r w:rsidR="00521352">
        <w:rPr>
          <w:szCs w:val="18"/>
        </w:rPr>
        <w:t>.</w:t>
      </w:r>
      <w:r w:rsidRPr="00521352">
        <w:rPr>
          <w:szCs w:val="18"/>
        </w:rPr>
        <w:t xml:space="preserve"> 11</w:t>
      </w:r>
      <w:r w:rsidR="00521352">
        <w:rPr>
          <w:szCs w:val="18"/>
        </w:rPr>
        <w:t xml:space="preserve">, </w:t>
      </w:r>
      <w:r w:rsidRPr="00521352">
        <w:rPr>
          <w:szCs w:val="18"/>
        </w:rPr>
        <w:t>CCPR/C/DOM/CO/5</w:t>
      </w:r>
      <w:r w:rsidR="00521352">
        <w:rPr>
          <w:szCs w:val="18"/>
        </w:rPr>
        <w:t>.</w:t>
      </w:r>
      <w:r w:rsidRPr="0035771E">
        <w:rPr>
          <w:szCs w:val="18"/>
        </w:rPr>
        <w:t xml:space="preserve"> </w:t>
      </w:r>
      <w:r w:rsidR="00521352">
        <w:rPr>
          <w:szCs w:val="18"/>
        </w:rPr>
        <w:t>T</w:t>
      </w:r>
      <w:r w:rsidRPr="0035771E">
        <w:rPr>
          <w:szCs w:val="18"/>
        </w:rPr>
        <w:t>he IACHR notes a “major underreporting” of acts of violence against lesbians (see footnote</w:t>
      </w:r>
      <w:r w:rsidR="00023DDC">
        <w:rPr>
          <w:szCs w:val="18"/>
        </w:rPr>
        <w:t xml:space="preserve"> 28</w:t>
      </w:r>
      <w:r w:rsidRPr="0035771E">
        <w:rPr>
          <w:szCs w:val="18"/>
        </w:rPr>
        <w:t>, p. 4).</w:t>
      </w:r>
    </w:p>
  </w:footnote>
  <w:footnote w:id="36">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CCPR/C/URY/CO/5, para. 12.</w:t>
      </w:r>
    </w:p>
  </w:footnote>
  <w:footnote w:id="37">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3C7D28">
        <w:rPr>
          <w:szCs w:val="18"/>
        </w:rPr>
        <w:t xml:space="preserve">See </w:t>
      </w:r>
      <w:r w:rsidRPr="0035771E">
        <w:rPr>
          <w:szCs w:val="18"/>
        </w:rPr>
        <w:t>A/HRC/20/16, para</w:t>
      </w:r>
      <w:r w:rsidRPr="00D11809">
        <w:rPr>
          <w:szCs w:val="18"/>
        </w:rPr>
        <w:t>s</w:t>
      </w:r>
      <w:r w:rsidRPr="0035771E">
        <w:rPr>
          <w:szCs w:val="18"/>
        </w:rPr>
        <w:t xml:space="preserve">. </w:t>
      </w:r>
      <w:r w:rsidR="005964B7" w:rsidRPr="00D11809">
        <w:rPr>
          <w:szCs w:val="18"/>
        </w:rPr>
        <w:t>55</w:t>
      </w:r>
      <w:r w:rsidR="005964B7">
        <w:rPr>
          <w:szCs w:val="18"/>
        </w:rPr>
        <w:t xml:space="preserve">, </w:t>
      </w:r>
      <w:r w:rsidRPr="00D11809">
        <w:rPr>
          <w:szCs w:val="18"/>
        </w:rPr>
        <w:t>73, CERD/C/GC/34, para.</w:t>
      </w:r>
      <w:r w:rsidRPr="0035771E">
        <w:rPr>
          <w:szCs w:val="18"/>
        </w:rPr>
        <w:t xml:space="preserve"> 23.</w:t>
      </w:r>
    </w:p>
  </w:footnote>
  <w:footnote w:id="38">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t>OHCHR</w:t>
      </w:r>
      <w:r w:rsidRPr="0035771E">
        <w:rPr>
          <w:szCs w:val="18"/>
        </w:rPr>
        <w:t>, briefing note on Chile, 30 March 2012.</w:t>
      </w:r>
    </w:p>
  </w:footnote>
  <w:footnote w:id="3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Pr="00D11809">
        <w:rPr>
          <w:szCs w:val="18"/>
        </w:rPr>
        <w:t>Second report on hom</w:t>
      </w:r>
      <w:r w:rsidRPr="0035771E">
        <w:rPr>
          <w:szCs w:val="18"/>
        </w:rPr>
        <w:t>ophobic violence in Brazil (201</w:t>
      </w:r>
      <w:r w:rsidR="00DC3C47" w:rsidRPr="0035771E">
        <w:rPr>
          <w:szCs w:val="18"/>
        </w:rPr>
        <w:t>2), Department of Human Rights</w:t>
      </w:r>
      <w:r w:rsidRPr="0035771E">
        <w:rPr>
          <w:szCs w:val="18"/>
        </w:rPr>
        <w:t>, June 2013</w:t>
      </w:r>
      <w:r w:rsidRPr="00D11809">
        <w:rPr>
          <w:szCs w:val="18"/>
        </w:rPr>
        <w:t xml:space="preserve"> (available at www.sdh.gov.br/noticias/2013/junho/numero-de-denuncias-de-viole</w:t>
      </w:r>
      <w:r w:rsidRPr="0035771E">
        <w:rPr>
          <w:szCs w:val="18"/>
        </w:rPr>
        <w:t xml:space="preserve">ncia-homofobica-cresceu-166-em-2012-diz-relatorio). </w:t>
      </w:r>
    </w:p>
  </w:footnote>
  <w:footnote w:id="40">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r>
      <w:r w:rsidRPr="0035771E">
        <w:rPr>
          <w:szCs w:val="18"/>
        </w:rPr>
        <w:t>IACHR (see footnote</w:t>
      </w:r>
      <w:r w:rsidR="00023DDC">
        <w:rPr>
          <w:szCs w:val="18"/>
        </w:rPr>
        <w:t xml:space="preserve"> 28</w:t>
      </w:r>
      <w:r w:rsidRPr="0035771E">
        <w:rPr>
          <w:szCs w:val="18"/>
        </w:rPr>
        <w:t>), p. 1.</w:t>
      </w:r>
    </w:p>
  </w:footnote>
  <w:footnote w:id="4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szCs w:val="18"/>
        </w:rPr>
        <w:t xml:space="preserve">Trans Murder Monitoring results update, November 2014 (available at http://tgeu.org/tmm/). </w:t>
      </w:r>
    </w:p>
  </w:footnote>
  <w:footnote w:id="42">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i/>
          <w:szCs w:val="18"/>
        </w:rPr>
        <w:t>Lesbian, Gay, Bisexual, Transgender, Queer and HIV-Affected Hate Violence in 2013</w:t>
      </w:r>
      <w:r w:rsidRPr="0035771E">
        <w:rPr>
          <w:szCs w:val="18"/>
        </w:rPr>
        <w:t>, National Coalition of Anti-Violence Programs, New York, 2014 (available at http://avp.org/resources/avp-resources/315).</w:t>
      </w:r>
    </w:p>
  </w:footnote>
  <w:footnote w:id="4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55543B">
        <w:rPr>
          <w:szCs w:val="18"/>
        </w:rPr>
        <w:t xml:space="preserve">See </w:t>
      </w:r>
      <w:r w:rsidRPr="0035771E">
        <w:rPr>
          <w:szCs w:val="18"/>
        </w:rPr>
        <w:t>CRC/C/IRQ/CO/2-4, paras</w:t>
      </w:r>
      <w:r w:rsidRPr="00D11809">
        <w:rPr>
          <w:szCs w:val="18"/>
        </w:rPr>
        <w:t>.</w:t>
      </w:r>
      <w:r w:rsidRPr="0035771E">
        <w:rPr>
          <w:szCs w:val="18"/>
        </w:rPr>
        <w:t xml:space="preserve"> 27-28.</w:t>
      </w:r>
    </w:p>
  </w:footnote>
  <w:footnote w:id="44">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t>OHCHR</w:t>
      </w:r>
      <w:r w:rsidRPr="0035771E">
        <w:rPr>
          <w:szCs w:val="18"/>
        </w:rPr>
        <w:t>, press briefing notes on ISIL/Iraq, 20 January 2015.</w:t>
      </w:r>
    </w:p>
  </w:footnote>
  <w:footnote w:id="45">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B90CCB">
        <w:rPr>
          <w:szCs w:val="18"/>
        </w:rPr>
        <w:t xml:space="preserve">See </w:t>
      </w:r>
      <w:r w:rsidRPr="0035771E">
        <w:rPr>
          <w:szCs w:val="18"/>
        </w:rPr>
        <w:t>A/HRC/23/47/Add.2, para. 49</w:t>
      </w:r>
      <w:r w:rsidRPr="0035771E">
        <w:rPr>
          <w:color w:val="000000"/>
          <w:szCs w:val="18"/>
        </w:rPr>
        <w:t xml:space="preserve">. </w:t>
      </w:r>
    </w:p>
  </w:footnote>
  <w:footnote w:id="46">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 xml:space="preserve">A/HRC/26/50, para. </w:t>
      </w:r>
      <w:r w:rsidRPr="00D11809">
        <w:rPr>
          <w:szCs w:val="18"/>
        </w:rPr>
        <w:t>14.</w:t>
      </w:r>
    </w:p>
  </w:footnote>
  <w:footnote w:id="47">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B90CCB">
        <w:rPr>
          <w:szCs w:val="18"/>
        </w:rPr>
        <w:t xml:space="preserve">See </w:t>
      </w:r>
      <w:r w:rsidRPr="0035771E">
        <w:rPr>
          <w:szCs w:val="18"/>
        </w:rPr>
        <w:t>CEDAW/C/GUY/CO/7-8, para. 22</w:t>
      </w:r>
      <w:r w:rsidR="00B90CCB">
        <w:rPr>
          <w:szCs w:val="18"/>
        </w:rPr>
        <w:t xml:space="preserve">, </w:t>
      </w:r>
      <w:r w:rsidRPr="0035771E">
        <w:rPr>
          <w:szCs w:val="18"/>
        </w:rPr>
        <w:t>A/HRC/20/16, paras. 55, 71, 73</w:t>
      </w:r>
      <w:r w:rsidR="00163F6E">
        <w:rPr>
          <w:szCs w:val="18"/>
        </w:rPr>
        <w:t>,</w:t>
      </w:r>
      <w:r w:rsidRPr="0035771E">
        <w:rPr>
          <w:szCs w:val="18"/>
        </w:rPr>
        <w:t xml:space="preserve"> 76. </w:t>
      </w:r>
    </w:p>
  </w:footnote>
  <w:footnote w:id="48">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r>
      <w:r w:rsidRPr="0035771E">
        <w:rPr>
          <w:szCs w:val="18"/>
        </w:rPr>
        <w:t>A/H</w:t>
      </w:r>
      <w:r w:rsidRPr="00EA68DF">
        <w:rPr>
          <w:szCs w:val="18"/>
        </w:rPr>
        <w:t>RC/25/65, para. 67</w:t>
      </w:r>
      <w:r w:rsidR="00EA68DF">
        <w:rPr>
          <w:szCs w:val="18"/>
        </w:rPr>
        <w:t>-</w:t>
      </w:r>
      <w:r w:rsidRPr="00EA68DF">
        <w:rPr>
          <w:szCs w:val="18"/>
        </w:rPr>
        <w:t xml:space="preserve">71. </w:t>
      </w:r>
      <w:r w:rsidRPr="0035771E">
        <w:rPr>
          <w:szCs w:val="18"/>
        </w:rPr>
        <w:t>Oral update of the Independent International Commission of Inquiry on the Syrian Arab Republic, 18 March 2014.</w:t>
      </w:r>
    </w:p>
  </w:footnote>
  <w:footnote w:id="49">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EA68DF">
        <w:rPr>
          <w:szCs w:val="18"/>
        </w:rPr>
        <w:t xml:space="preserve">See </w:t>
      </w:r>
      <w:r w:rsidRPr="0035771E">
        <w:rPr>
          <w:szCs w:val="18"/>
        </w:rPr>
        <w:t xml:space="preserve">A/HRC/25/55/Add.3, paras. </w:t>
      </w:r>
      <w:r w:rsidRPr="00D11809">
        <w:rPr>
          <w:szCs w:val="18"/>
        </w:rPr>
        <w:t>433-435, 480-482.</w:t>
      </w:r>
    </w:p>
  </w:footnote>
  <w:footnote w:id="50">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t>Uniform Crime Reports, 2013 Hate Crime Statistics,</w:t>
      </w:r>
      <w:r w:rsidRPr="0035771E">
        <w:rPr>
          <w:color w:val="000000"/>
          <w:szCs w:val="18"/>
        </w:rPr>
        <w:t xml:space="preserve"> U.S. Department of Justice, 2014 (available at www.fbi.gov/about-us/cjis/ucr/hate-crime/2013).</w:t>
      </w:r>
    </w:p>
  </w:footnote>
  <w:footnote w:id="5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i/>
          <w:szCs w:val="18"/>
        </w:rPr>
        <w:t>EU LGBT Survey: Results at a Glance</w:t>
      </w:r>
      <w:r w:rsidRPr="0035771E">
        <w:rPr>
          <w:szCs w:val="18"/>
        </w:rPr>
        <w:t>, European Union Agency for Fundamental Rights, 2013, p. 7.</w:t>
      </w:r>
    </w:p>
  </w:footnote>
  <w:footnote w:id="52">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i/>
          <w:szCs w:val="18"/>
        </w:rPr>
        <w:t>Homophobic Hate Crime: the Gay British Crime Survey 2013</w:t>
      </w:r>
      <w:r w:rsidRPr="0035771E">
        <w:rPr>
          <w:szCs w:val="18"/>
        </w:rPr>
        <w:t>, Stonewall, 2013, p</w:t>
      </w:r>
      <w:r w:rsidR="00A81E6A">
        <w:rPr>
          <w:szCs w:val="18"/>
        </w:rPr>
        <w:t>p</w:t>
      </w:r>
      <w:r w:rsidRPr="0035771E">
        <w:rPr>
          <w:szCs w:val="18"/>
        </w:rPr>
        <w:t>. 116</w:t>
      </w:r>
      <w:r w:rsidR="00A81E6A">
        <w:rPr>
          <w:szCs w:val="18"/>
        </w:rPr>
        <w:t>-</w:t>
      </w:r>
      <w:r w:rsidRPr="0035771E">
        <w:rPr>
          <w:szCs w:val="18"/>
        </w:rPr>
        <w:t>117.</w:t>
      </w:r>
    </w:p>
  </w:footnote>
  <w:footnote w:id="5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4821DE">
        <w:rPr>
          <w:szCs w:val="18"/>
        </w:rPr>
        <w:t xml:space="preserve">See </w:t>
      </w:r>
      <w:r w:rsidRPr="0035771E">
        <w:rPr>
          <w:szCs w:val="18"/>
        </w:rPr>
        <w:t xml:space="preserve">CCPR/C/UKR/CO/7, para. </w:t>
      </w:r>
      <w:r w:rsidRPr="00D11809">
        <w:rPr>
          <w:szCs w:val="18"/>
        </w:rPr>
        <w:t>10</w:t>
      </w:r>
      <w:r w:rsidR="004821DE">
        <w:rPr>
          <w:szCs w:val="18"/>
        </w:rPr>
        <w:t>,</w:t>
      </w:r>
      <w:r w:rsidRPr="00D11809">
        <w:rPr>
          <w:szCs w:val="18"/>
        </w:rPr>
        <w:t xml:space="preserve"> A/67/357, para.75</w:t>
      </w:r>
      <w:r w:rsidR="004821DE">
        <w:rPr>
          <w:szCs w:val="18"/>
        </w:rPr>
        <w:t>;</w:t>
      </w:r>
      <w:r w:rsidRPr="00D11809">
        <w:rPr>
          <w:szCs w:val="18"/>
        </w:rPr>
        <w:t xml:space="preserve"> </w:t>
      </w:r>
      <w:r w:rsidR="004821DE">
        <w:rPr>
          <w:szCs w:val="18"/>
        </w:rPr>
        <w:t>s</w:t>
      </w:r>
      <w:r w:rsidRPr="0035771E">
        <w:rPr>
          <w:szCs w:val="18"/>
        </w:rPr>
        <w:t xml:space="preserve">ee also European Court of Human Rights, </w:t>
      </w:r>
      <w:r w:rsidRPr="0035771E">
        <w:rPr>
          <w:rStyle w:val="s7d2086b4"/>
          <w:szCs w:val="18"/>
        </w:rPr>
        <w:t>application 1813/07, 9 May /2012.</w:t>
      </w:r>
    </w:p>
  </w:footnote>
  <w:footnote w:id="54">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szCs w:val="18"/>
        </w:rPr>
        <w:t xml:space="preserve">Navi Pillay, “Prejudice fuels the denial of rights for LGBT people”, </w:t>
      </w:r>
      <w:r w:rsidRPr="0035771E">
        <w:rPr>
          <w:i/>
          <w:szCs w:val="18"/>
        </w:rPr>
        <w:t>Jakarta Post</w:t>
      </w:r>
      <w:r w:rsidRPr="0035771E">
        <w:rPr>
          <w:szCs w:val="18"/>
        </w:rPr>
        <w:t>, 30 April 2014</w:t>
      </w:r>
      <w:r w:rsidR="00B435EB">
        <w:rPr>
          <w:szCs w:val="18"/>
        </w:rPr>
        <w:t>.</w:t>
      </w:r>
      <w:r w:rsidR="0076196B">
        <w:rPr>
          <w:szCs w:val="18"/>
        </w:rPr>
        <w:t xml:space="preserve"> See </w:t>
      </w:r>
      <w:r w:rsidRPr="0035771E">
        <w:rPr>
          <w:bCs/>
          <w:szCs w:val="18"/>
        </w:rPr>
        <w:t>A/HR</w:t>
      </w:r>
      <w:r w:rsidRPr="0076196B">
        <w:rPr>
          <w:bCs/>
          <w:szCs w:val="18"/>
        </w:rPr>
        <w:t xml:space="preserve">C/22/47/Add.1, para. </w:t>
      </w:r>
      <w:r w:rsidRPr="0035771E">
        <w:rPr>
          <w:bCs/>
          <w:szCs w:val="18"/>
        </w:rPr>
        <w:t>91.</w:t>
      </w:r>
    </w:p>
  </w:footnote>
  <w:footnote w:id="55">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CRC/C/VAT/CO/2, para. 25.</w:t>
      </w:r>
    </w:p>
  </w:footnote>
  <w:footnote w:id="56">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 xml:space="preserve">CRC/C/CHE/CO/2-4, para. </w:t>
      </w:r>
      <w:r w:rsidRPr="00D11809">
        <w:rPr>
          <w:szCs w:val="18"/>
        </w:rPr>
        <w:t>24.</w:t>
      </w:r>
    </w:p>
  </w:footnote>
  <w:footnote w:id="57">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766EFF">
        <w:rPr>
          <w:szCs w:val="18"/>
        </w:rPr>
        <w:t xml:space="preserve">See </w:t>
      </w:r>
      <w:r w:rsidRPr="00D11809">
        <w:rPr>
          <w:szCs w:val="18"/>
        </w:rPr>
        <w:t>A/HRC/19/61/Add.4, paras. 168</w:t>
      </w:r>
      <w:r w:rsidR="00371689">
        <w:rPr>
          <w:szCs w:val="18"/>
        </w:rPr>
        <w:t>,</w:t>
      </w:r>
      <w:r w:rsidRPr="00D11809">
        <w:rPr>
          <w:szCs w:val="18"/>
        </w:rPr>
        <w:t xml:space="preserve"> 172</w:t>
      </w:r>
      <w:r w:rsidR="00766EFF">
        <w:rPr>
          <w:szCs w:val="18"/>
        </w:rPr>
        <w:t xml:space="preserve">, </w:t>
      </w:r>
      <w:r w:rsidRPr="00D11809">
        <w:rPr>
          <w:szCs w:val="18"/>
        </w:rPr>
        <w:t xml:space="preserve">CAT/C/KGZ/CO/2, para. </w:t>
      </w:r>
      <w:r w:rsidRPr="0035771E">
        <w:rPr>
          <w:szCs w:val="18"/>
        </w:rPr>
        <w:t xml:space="preserve">19. </w:t>
      </w:r>
    </w:p>
  </w:footnote>
  <w:footnote w:id="58">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A/HRC/22/53/Add.4, para</w:t>
      </w:r>
      <w:r w:rsidRPr="00D11809">
        <w:rPr>
          <w:szCs w:val="18"/>
        </w:rPr>
        <w:t>.</w:t>
      </w:r>
      <w:r w:rsidRPr="0035771E">
        <w:rPr>
          <w:szCs w:val="18"/>
        </w:rPr>
        <w:t xml:space="preserve"> 162.</w:t>
      </w:r>
    </w:p>
  </w:footnote>
  <w:footnote w:id="59">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627DA8">
        <w:rPr>
          <w:szCs w:val="18"/>
        </w:rPr>
        <w:t>Ibid.</w:t>
      </w:r>
      <w:r w:rsidRPr="0035771E">
        <w:rPr>
          <w:szCs w:val="18"/>
        </w:rPr>
        <w:t xml:space="preserve">, para. </w:t>
      </w:r>
      <w:r w:rsidRPr="00D11809">
        <w:rPr>
          <w:szCs w:val="18"/>
        </w:rPr>
        <w:t>178.</w:t>
      </w:r>
    </w:p>
  </w:footnote>
  <w:footnote w:id="6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t>See CCPR/C/108/D/2149/2012)</w:t>
      </w:r>
      <w:r w:rsidRPr="0035771E">
        <w:rPr>
          <w:szCs w:val="18"/>
        </w:rPr>
        <w:t>, para. 2.2.</w:t>
      </w:r>
    </w:p>
  </w:footnote>
  <w:footnote w:id="6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t>A/HRC/27/72, EGY 4</w:t>
      </w:r>
      <w:r w:rsidRPr="0035771E">
        <w:rPr>
          <w:szCs w:val="18"/>
        </w:rPr>
        <w:t xml:space="preserve">/2014. </w:t>
      </w:r>
    </w:p>
  </w:footnote>
  <w:footnote w:id="62">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A/68/340, para</w:t>
      </w:r>
      <w:r w:rsidR="00F76F7E">
        <w:rPr>
          <w:szCs w:val="18"/>
        </w:rPr>
        <w:t>s</w:t>
      </w:r>
      <w:r w:rsidRPr="0035771E">
        <w:rPr>
          <w:szCs w:val="18"/>
        </w:rPr>
        <w:t xml:space="preserve">. </w:t>
      </w:r>
      <w:r w:rsidR="00F76F7E">
        <w:rPr>
          <w:szCs w:val="18"/>
        </w:rPr>
        <w:t>58, 59</w:t>
      </w:r>
      <w:r w:rsidR="00371689">
        <w:rPr>
          <w:szCs w:val="18"/>
        </w:rPr>
        <w:t>,</w:t>
      </w:r>
      <w:r w:rsidR="00F76F7E">
        <w:rPr>
          <w:szCs w:val="18"/>
        </w:rPr>
        <w:t xml:space="preserve"> </w:t>
      </w:r>
      <w:r w:rsidRPr="0035771E">
        <w:rPr>
          <w:szCs w:val="18"/>
        </w:rPr>
        <w:t>63.</w:t>
      </w:r>
    </w:p>
  </w:footnote>
  <w:footnote w:id="6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A/HRC/22/53, paras. 76</w:t>
      </w:r>
      <w:r w:rsidR="00371689">
        <w:rPr>
          <w:szCs w:val="18"/>
        </w:rPr>
        <w:t>,</w:t>
      </w:r>
      <w:r w:rsidR="00371689" w:rsidRPr="0035771E" w:rsidDel="00371689">
        <w:rPr>
          <w:szCs w:val="18"/>
        </w:rPr>
        <w:t xml:space="preserve"> </w:t>
      </w:r>
      <w:r w:rsidRPr="0035771E">
        <w:rPr>
          <w:szCs w:val="18"/>
        </w:rPr>
        <w:t>79</w:t>
      </w:r>
      <w:r w:rsidRPr="0035771E">
        <w:rPr>
          <w:color w:val="000000"/>
          <w:szCs w:val="18"/>
        </w:rPr>
        <w:t>.</w:t>
      </w:r>
    </w:p>
  </w:footnote>
  <w:footnote w:id="64">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r>
      <w:r w:rsidRPr="0035771E">
        <w:rPr>
          <w:szCs w:val="18"/>
        </w:rPr>
        <w:t xml:space="preserve">See </w:t>
      </w:r>
      <w:r w:rsidR="00FB4FCC">
        <w:rPr>
          <w:szCs w:val="18"/>
        </w:rPr>
        <w:t xml:space="preserve">also </w:t>
      </w:r>
      <w:r w:rsidRPr="0035771E">
        <w:rPr>
          <w:szCs w:val="18"/>
        </w:rPr>
        <w:t>A/HRC/19/41, paras. 40-47.</w:t>
      </w:r>
    </w:p>
  </w:footnote>
  <w:footnote w:id="65">
    <w:p w:rsidR="000673F5" w:rsidRPr="00ED5D26"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r>
      <w:r w:rsidR="00ED5D26">
        <w:rPr>
          <w:szCs w:val="18"/>
        </w:rPr>
        <w:t xml:space="preserve">See </w:t>
      </w:r>
      <w:r w:rsidRPr="00D11809">
        <w:rPr>
          <w:szCs w:val="18"/>
        </w:rPr>
        <w:t>E/C.12/GC/20</w:t>
      </w:r>
      <w:r w:rsidRPr="0035771E">
        <w:rPr>
          <w:szCs w:val="18"/>
        </w:rPr>
        <w:t>, p</w:t>
      </w:r>
      <w:r w:rsidRPr="00ED5D26">
        <w:rPr>
          <w:szCs w:val="18"/>
        </w:rPr>
        <w:t>aras. 7-11</w:t>
      </w:r>
      <w:r w:rsidR="00ED5D26">
        <w:rPr>
          <w:szCs w:val="18"/>
        </w:rPr>
        <w:t xml:space="preserve">, </w:t>
      </w:r>
      <w:r w:rsidRPr="00ED5D26">
        <w:rPr>
          <w:szCs w:val="18"/>
        </w:rPr>
        <w:t>CCPR/C/PER/CO/5</w:t>
      </w:r>
      <w:r w:rsidR="00ED5D26">
        <w:rPr>
          <w:szCs w:val="18"/>
        </w:rPr>
        <w:t>,</w:t>
      </w:r>
      <w:r w:rsidRPr="00ED5D26">
        <w:rPr>
          <w:szCs w:val="18"/>
        </w:rPr>
        <w:t xml:space="preserve"> para. 8.</w:t>
      </w:r>
    </w:p>
  </w:footnote>
  <w:footnote w:id="66">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ED5D26">
        <w:rPr>
          <w:szCs w:val="18"/>
        </w:rPr>
        <w:t xml:space="preserve">See </w:t>
      </w:r>
      <w:r w:rsidRPr="0035771E">
        <w:rPr>
          <w:szCs w:val="18"/>
        </w:rPr>
        <w:t>CRC/C/GC/15, para. 8</w:t>
      </w:r>
      <w:r w:rsidR="00ED5D26">
        <w:rPr>
          <w:szCs w:val="18"/>
        </w:rPr>
        <w:t>,</w:t>
      </w:r>
      <w:r w:rsidRPr="0035771E">
        <w:rPr>
          <w:szCs w:val="18"/>
        </w:rPr>
        <w:t xml:space="preserve"> A/HRC/20/16, paras. 17</w:t>
      </w:r>
      <w:r w:rsidR="00734F84">
        <w:rPr>
          <w:szCs w:val="18"/>
        </w:rPr>
        <w:t>,</w:t>
      </w:r>
      <w:r w:rsidRPr="0035771E">
        <w:rPr>
          <w:szCs w:val="18"/>
        </w:rPr>
        <w:t xml:space="preserve"> 23</w:t>
      </w:r>
      <w:r w:rsidR="00ED5D26">
        <w:rPr>
          <w:szCs w:val="18"/>
        </w:rPr>
        <w:t>-</w:t>
      </w:r>
      <w:r w:rsidRPr="0035771E">
        <w:rPr>
          <w:szCs w:val="18"/>
        </w:rPr>
        <w:t>27</w:t>
      </w:r>
      <w:r w:rsidR="00ED5D26">
        <w:rPr>
          <w:szCs w:val="18"/>
        </w:rPr>
        <w:t>,</w:t>
      </w:r>
      <w:r w:rsidRPr="0035771E">
        <w:rPr>
          <w:szCs w:val="18"/>
        </w:rPr>
        <w:t xml:space="preserve"> </w:t>
      </w:r>
      <w:r w:rsidRPr="00D11809">
        <w:rPr>
          <w:szCs w:val="18"/>
        </w:rPr>
        <w:t>A/HRC/26/50, para</w:t>
      </w:r>
      <w:r w:rsidR="00ED5D26">
        <w:rPr>
          <w:szCs w:val="18"/>
        </w:rPr>
        <w:t>.</w:t>
      </w:r>
      <w:r w:rsidRPr="00D11809">
        <w:rPr>
          <w:szCs w:val="18"/>
        </w:rPr>
        <w:t xml:space="preserve"> 15</w:t>
      </w:r>
      <w:r w:rsidR="00E009FB">
        <w:rPr>
          <w:szCs w:val="18"/>
        </w:rPr>
        <w:t>,</w:t>
      </w:r>
      <w:r w:rsidRPr="00D11809">
        <w:rPr>
          <w:szCs w:val="18"/>
        </w:rPr>
        <w:t xml:space="preserve"> </w:t>
      </w:r>
      <w:r w:rsidRPr="0035771E">
        <w:rPr>
          <w:szCs w:val="18"/>
        </w:rPr>
        <w:t>CEDAW/C/GC/28</w:t>
      </w:r>
      <w:r w:rsidR="00ED5D26">
        <w:rPr>
          <w:szCs w:val="18"/>
        </w:rPr>
        <w:t>,</w:t>
      </w:r>
      <w:r w:rsidRPr="0035771E">
        <w:rPr>
          <w:szCs w:val="18"/>
        </w:rPr>
        <w:t xml:space="preserve"> para. 18.</w:t>
      </w:r>
    </w:p>
  </w:footnote>
  <w:footnote w:id="67">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ED5D26">
        <w:rPr>
          <w:szCs w:val="18"/>
        </w:rPr>
        <w:t xml:space="preserve">See </w:t>
      </w:r>
      <w:r w:rsidRPr="0035771E">
        <w:rPr>
          <w:szCs w:val="18"/>
        </w:rPr>
        <w:t>A/HRC/27/55</w:t>
      </w:r>
      <w:r w:rsidR="00ED5D26">
        <w:rPr>
          <w:szCs w:val="18"/>
        </w:rPr>
        <w:t>,</w:t>
      </w:r>
      <w:r w:rsidRPr="0035771E">
        <w:rPr>
          <w:szCs w:val="18"/>
        </w:rPr>
        <w:t xml:space="preserve"> paras. 64</w:t>
      </w:r>
      <w:r w:rsidR="00ED5D26">
        <w:rPr>
          <w:szCs w:val="18"/>
        </w:rPr>
        <w:t>-</w:t>
      </w:r>
      <w:r w:rsidRPr="0035771E">
        <w:rPr>
          <w:szCs w:val="18"/>
        </w:rPr>
        <w:t>66</w:t>
      </w:r>
      <w:r w:rsidR="00ED5D26">
        <w:rPr>
          <w:szCs w:val="18"/>
        </w:rPr>
        <w:t xml:space="preserve">, </w:t>
      </w:r>
      <w:r w:rsidRPr="0035771E">
        <w:rPr>
          <w:szCs w:val="18"/>
        </w:rPr>
        <w:t>E/C.12/PER/CO/2-4</w:t>
      </w:r>
      <w:r w:rsidR="00ED5D26">
        <w:rPr>
          <w:szCs w:val="18"/>
        </w:rPr>
        <w:t>,</w:t>
      </w:r>
      <w:r w:rsidRPr="0035771E">
        <w:rPr>
          <w:szCs w:val="18"/>
        </w:rPr>
        <w:t xml:space="preserve"> para</w:t>
      </w:r>
      <w:r w:rsidR="00ED5D26">
        <w:rPr>
          <w:szCs w:val="18"/>
        </w:rPr>
        <w:t>.</w:t>
      </w:r>
      <w:r w:rsidRPr="0035771E">
        <w:rPr>
          <w:szCs w:val="18"/>
        </w:rPr>
        <w:t xml:space="preserve"> 5. </w:t>
      </w:r>
    </w:p>
  </w:footnote>
  <w:footnote w:id="68">
    <w:p w:rsidR="000673F5" w:rsidRPr="0035771E" w:rsidRDefault="000673F5" w:rsidP="00023DDC">
      <w:pPr>
        <w:pStyle w:val="FootnoteText"/>
        <w:spacing w:line="240" w:lineRule="atLeast"/>
        <w:rPr>
          <w:szCs w:val="18"/>
        </w:rPr>
      </w:pPr>
      <w:r w:rsidRPr="00D11809">
        <w:rPr>
          <w:szCs w:val="18"/>
        </w:rPr>
        <w:tab/>
      </w:r>
      <w:r w:rsidRPr="00D11809">
        <w:rPr>
          <w:rStyle w:val="FootnoteReference"/>
          <w:color w:val="000000"/>
          <w:szCs w:val="18"/>
        </w:rPr>
        <w:footnoteRef/>
      </w:r>
      <w:r w:rsidRPr="00D11809">
        <w:rPr>
          <w:szCs w:val="18"/>
        </w:rPr>
        <w:tab/>
        <w:t xml:space="preserve">See </w:t>
      </w:r>
      <w:r w:rsidRPr="0035771E">
        <w:rPr>
          <w:szCs w:val="18"/>
        </w:rPr>
        <w:t xml:space="preserve">Lucas </w:t>
      </w:r>
      <w:r>
        <w:rPr>
          <w:szCs w:val="18"/>
        </w:rPr>
        <w:t xml:space="preserve">Paoli </w:t>
      </w:r>
      <w:r w:rsidRPr="00D11809">
        <w:rPr>
          <w:szCs w:val="18"/>
        </w:rPr>
        <w:t xml:space="preserve">Itaborahy, </w:t>
      </w:r>
      <w:r w:rsidRPr="0035771E">
        <w:rPr>
          <w:i/>
          <w:szCs w:val="18"/>
        </w:rPr>
        <w:t>LGBT people living in poverty in Rio de Janeiro</w:t>
      </w:r>
      <w:r w:rsidRPr="0035771E">
        <w:rPr>
          <w:szCs w:val="18"/>
        </w:rPr>
        <w:t xml:space="preserve"> (London, Micro Rainbow, 2014); and Gary J. Gates, “Food Insecurity and SNAP (Food Stamps) </w:t>
      </w:r>
      <w:r w:rsidRPr="00D11809">
        <w:rPr>
          <w:szCs w:val="18"/>
        </w:rPr>
        <w:t xml:space="preserve">Participation in LGBT Communities”, Williams Institute, </w:t>
      </w:r>
      <w:r w:rsidRPr="0035771E">
        <w:rPr>
          <w:szCs w:val="18"/>
        </w:rPr>
        <w:t>February 2014.</w:t>
      </w:r>
    </w:p>
  </w:footnote>
  <w:footnote w:id="6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szCs w:val="18"/>
        </w:rPr>
        <w:t>M.V. Lee Badgett, “The economic cost of stigma and the exclusion of LGBT People: a case study of India”, World Bank Group, 2014.</w:t>
      </w:r>
    </w:p>
  </w:footnote>
  <w:footnote w:id="7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6940AF">
        <w:rPr>
          <w:szCs w:val="18"/>
        </w:rPr>
        <w:t xml:space="preserve">See </w:t>
      </w:r>
      <w:r w:rsidRPr="0035771E">
        <w:rPr>
          <w:szCs w:val="18"/>
        </w:rPr>
        <w:t>CCPR/C/BLZ/CO/1, para. 13</w:t>
      </w:r>
      <w:r w:rsidR="006940AF">
        <w:rPr>
          <w:szCs w:val="18"/>
        </w:rPr>
        <w:t>,</w:t>
      </w:r>
      <w:r w:rsidRPr="0035771E">
        <w:rPr>
          <w:szCs w:val="18"/>
        </w:rPr>
        <w:t xml:space="preserve"> CCPR/C/PHL/CO/4, para. </w:t>
      </w:r>
      <w:r w:rsidRPr="00D11809">
        <w:rPr>
          <w:szCs w:val="18"/>
        </w:rPr>
        <w:t>10</w:t>
      </w:r>
      <w:r w:rsidR="001C10E2">
        <w:rPr>
          <w:szCs w:val="18"/>
        </w:rPr>
        <w:t>,</w:t>
      </w:r>
      <w:r w:rsidRPr="0035771E">
        <w:rPr>
          <w:szCs w:val="18"/>
        </w:rPr>
        <w:t xml:space="preserve"> CCPR/C/SLV/CO/6, para. 3(c).</w:t>
      </w:r>
    </w:p>
  </w:footnote>
  <w:footnote w:id="7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szCs w:val="18"/>
        </w:rPr>
        <w:t xml:space="preserve">Lucas </w:t>
      </w:r>
      <w:r>
        <w:rPr>
          <w:szCs w:val="18"/>
        </w:rPr>
        <w:t xml:space="preserve">Paoli </w:t>
      </w:r>
      <w:r w:rsidRPr="00D11809">
        <w:rPr>
          <w:szCs w:val="18"/>
        </w:rPr>
        <w:t xml:space="preserve">Itaborahy and Jingshu Zhu, </w:t>
      </w:r>
      <w:r w:rsidRPr="0035771E">
        <w:rPr>
          <w:i/>
          <w:szCs w:val="18"/>
        </w:rPr>
        <w:t>State-sponsored Homophobia</w:t>
      </w:r>
      <w:r w:rsidRPr="00D11809">
        <w:rPr>
          <w:szCs w:val="18"/>
        </w:rPr>
        <w:t xml:space="preserve">, </w:t>
      </w:r>
      <w:r w:rsidRPr="0035771E">
        <w:rPr>
          <w:color w:val="000000"/>
          <w:szCs w:val="18"/>
          <w:lang w:eastAsia="en-GB"/>
        </w:rPr>
        <w:t>International Lesbian, Gay, Bisexual, Transgender and Intersex Association (</w:t>
      </w:r>
      <w:r w:rsidRPr="00D11809">
        <w:rPr>
          <w:szCs w:val="18"/>
        </w:rPr>
        <w:t>ILGA</w:t>
      </w:r>
      <w:r w:rsidRPr="0035771E">
        <w:rPr>
          <w:szCs w:val="18"/>
        </w:rPr>
        <w:t>),</w:t>
      </w:r>
      <w:r>
        <w:rPr>
          <w:szCs w:val="18"/>
        </w:rPr>
        <w:t xml:space="preserve"> Brussels, 2014)</w:t>
      </w:r>
      <w:r w:rsidR="00DC3C47">
        <w:rPr>
          <w:szCs w:val="18"/>
        </w:rPr>
        <w:t>,</w:t>
      </w:r>
      <w:r w:rsidRPr="0035771E">
        <w:rPr>
          <w:szCs w:val="18"/>
        </w:rPr>
        <w:t xml:space="preserve"> p. 21</w:t>
      </w:r>
      <w:r>
        <w:rPr>
          <w:szCs w:val="18"/>
        </w:rPr>
        <w:t>.</w:t>
      </w:r>
      <w:r w:rsidRPr="00D11809">
        <w:rPr>
          <w:szCs w:val="18"/>
        </w:rPr>
        <w:t xml:space="preserve"> </w:t>
      </w:r>
      <w:r w:rsidRPr="0035771E">
        <w:rPr>
          <w:szCs w:val="18"/>
        </w:rPr>
        <w:t xml:space="preserve">Mozambique and Palau </w:t>
      </w:r>
      <w:r>
        <w:rPr>
          <w:szCs w:val="18"/>
        </w:rPr>
        <w:t xml:space="preserve">have </w:t>
      </w:r>
      <w:r w:rsidRPr="00D11809">
        <w:rPr>
          <w:szCs w:val="18"/>
        </w:rPr>
        <w:t xml:space="preserve">decriminalized homosexuality since </w:t>
      </w:r>
      <w:r>
        <w:rPr>
          <w:szCs w:val="18"/>
        </w:rPr>
        <w:t xml:space="preserve">the </w:t>
      </w:r>
      <w:r w:rsidRPr="00D11809">
        <w:rPr>
          <w:szCs w:val="18"/>
        </w:rPr>
        <w:t xml:space="preserve">publication of the </w:t>
      </w:r>
      <w:r w:rsidRPr="0035771E">
        <w:rPr>
          <w:szCs w:val="18"/>
        </w:rPr>
        <w:t xml:space="preserve">report. </w:t>
      </w:r>
    </w:p>
  </w:footnote>
  <w:footnote w:id="72">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6940AF">
        <w:rPr>
          <w:szCs w:val="18"/>
        </w:rPr>
        <w:t xml:space="preserve">See </w:t>
      </w:r>
      <w:r w:rsidRPr="0035771E">
        <w:rPr>
          <w:szCs w:val="18"/>
        </w:rPr>
        <w:t>CCPR/C/KWT/CO/2, para. 30.</w:t>
      </w:r>
    </w:p>
  </w:footnote>
  <w:footnote w:id="7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6940AF">
        <w:rPr>
          <w:szCs w:val="18"/>
        </w:rPr>
        <w:t xml:space="preserve">See </w:t>
      </w:r>
      <w:r w:rsidRPr="0035771E">
        <w:rPr>
          <w:szCs w:val="18"/>
        </w:rPr>
        <w:t>CCPR/C/PHL/CO/4</w:t>
      </w:r>
      <w:r w:rsidR="006940AF">
        <w:rPr>
          <w:szCs w:val="18"/>
        </w:rPr>
        <w:t>,</w:t>
      </w:r>
      <w:r w:rsidRPr="0035771E">
        <w:rPr>
          <w:szCs w:val="18"/>
        </w:rPr>
        <w:t xml:space="preserve"> para. </w:t>
      </w:r>
      <w:r w:rsidRPr="00D11809">
        <w:rPr>
          <w:szCs w:val="18"/>
        </w:rPr>
        <w:t>10</w:t>
      </w:r>
      <w:r w:rsidR="006940AF">
        <w:rPr>
          <w:szCs w:val="18"/>
        </w:rPr>
        <w:t xml:space="preserve">, </w:t>
      </w:r>
      <w:r w:rsidRPr="0035771E">
        <w:rPr>
          <w:color w:val="000000"/>
          <w:szCs w:val="18"/>
        </w:rPr>
        <w:t>CCPR/C/ETH/CO/1</w:t>
      </w:r>
      <w:r w:rsidR="006940AF">
        <w:rPr>
          <w:color w:val="000000"/>
          <w:szCs w:val="18"/>
        </w:rPr>
        <w:t>,</w:t>
      </w:r>
      <w:r w:rsidRPr="0035771E">
        <w:rPr>
          <w:szCs w:val="18"/>
        </w:rPr>
        <w:t xml:space="preserve"> para</w:t>
      </w:r>
      <w:r w:rsidR="006940AF">
        <w:rPr>
          <w:szCs w:val="18"/>
        </w:rPr>
        <w:t>.</w:t>
      </w:r>
      <w:r w:rsidRPr="0035771E">
        <w:rPr>
          <w:szCs w:val="18"/>
        </w:rPr>
        <w:t xml:space="preserve"> 12. </w:t>
      </w:r>
    </w:p>
  </w:footnote>
  <w:footnote w:id="74">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6940AF">
        <w:rPr>
          <w:szCs w:val="18"/>
        </w:rPr>
        <w:t xml:space="preserve">See </w:t>
      </w:r>
      <w:r w:rsidRPr="0035771E">
        <w:rPr>
          <w:szCs w:val="18"/>
        </w:rPr>
        <w:t>A/HRC/26/29</w:t>
      </w:r>
      <w:r w:rsidR="00EB3311">
        <w:rPr>
          <w:szCs w:val="18"/>
        </w:rPr>
        <w:t>,</w:t>
      </w:r>
      <w:r w:rsidRPr="0035771E">
        <w:rPr>
          <w:szCs w:val="18"/>
        </w:rPr>
        <w:t xml:space="preserve"> para. 27</w:t>
      </w:r>
      <w:r w:rsidR="00EB3311">
        <w:rPr>
          <w:szCs w:val="18"/>
        </w:rPr>
        <w:t>,</w:t>
      </w:r>
      <w:r w:rsidRPr="0035771E">
        <w:rPr>
          <w:szCs w:val="18"/>
        </w:rPr>
        <w:t xml:space="preserve"> CCPR/C/SLE/CO/1, para. 11.</w:t>
      </w:r>
    </w:p>
  </w:footnote>
  <w:footnote w:id="75">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A/HRC/28/66</w:t>
      </w:r>
      <w:r w:rsidR="00EB3311">
        <w:rPr>
          <w:szCs w:val="18"/>
        </w:rPr>
        <w:t>,</w:t>
      </w:r>
      <w:r w:rsidRPr="0035771E">
        <w:rPr>
          <w:szCs w:val="18"/>
        </w:rPr>
        <w:t xml:space="preserve"> para</w:t>
      </w:r>
      <w:r w:rsidR="00EB3311">
        <w:rPr>
          <w:szCs w:val="18"/>
        </w:rPr>
        <w:t>.</w:t>
      </w:r>
      <w:r w:rsidRPr="0035771E">
        <w:rPr>
          <w:szCs w:val="18"/>
        </w:rPr>
        <w:t xml:space="preserve"> 42.</w:t>
      </w:r>
    </w:p>
  </w:footnote>
  <w:footnote w:id="76">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6940AF">
        <w:rPr>
          <w:szCs w:val="18"/>
        </w:rPr>
        <w:t xml:space="preserve">See </w:t>
      </w:r>
      <w:r w:rsidRPr="0035771E">
        <w:rPr>
          <w:szCs w:val="18"/>
        </w:rPr>
        <w:t>CCPR/C/YEM/CO/5, para. 13</w:t>
      </w:r>
      <w:r w:rsidR="00EB3311">
        <w:rPr>
          <w:szCs w:val="18"/>
        </w:rPr>
        <w:t>,</w:t>
      </w:r>
      <w:r w:rsidRPr="0035771E">
        <w:rPr>
          <w:szCs w:val="18"/>
        </w:rPr>
        <w:t xml:space="preserve"> E/C.12/IRN/CO/2, para. 7.</w:t>
      </w:r>
    </w:p>
  </w:footnote>
  <w:footnote w:id="77">
    <w:p w:rsidR="000673F5" w:rsidRPr="00D11809"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r>
      <w:r w:rsidR="006940AF">
        <w:rPr>
          <w:szCs w:val="18"/>
        </w:rPr>
        <w:t xml:space="preserve">See </w:t>
      </w:r>
      <w:r w:rsidRPr="00D11809">
        <w:rPr>
          <w:szCs w:val="18"/>
        </w:rPr>
        <w:t>A/67/275, paras. 36</w:t>
      </w:r>
      <w:r w:rsidR="006940AF">
        <w:rPr>
          <w:szCs w:val="18"/>
        </w:rPr>
        <w:t>-</w:t>
      </w:r>
      <w:r w:rsidRPr="00D11809">
        <w:rPr>
          <w:szCs w:val="18"/>
        </w:rPr>
        <w:t>38</w:t>
      </w:r>
      <w:r w:rsidR="006940AF">
        <w:rPr>
          <w:szCs w:val="18"/>
        </w:rPr>
        <w:t xml:space="preserve">, </w:t>
      </w:r>
      <w:r w:rsidRPr="00D11809">
        <w:rPr>
          <w:szCs w:val="18"/>
        </w:rPr>
        <w:t>A/HRC/27/23, para. 28.</w:t>
      </w:r>
    </w:p>
  </w:footnote>
  <w:footnote w:id="78">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1748BF">
        <w:rPr>
          <w:szCs w:val="18"/>
        </w:rPr>
        <w:t xml:space="preserve">See </w:t>
      </w:r>
      <w:r w:rsidRPr="0035771E">
        <w:rPr>
          <w:szCs w:val="18"/>
        </w:rPr>
        <w:t xml:space="preserve">CEDAW/C/KGZ/CO/4, para. </w:t>
      </w:r>
      <w:r w:rsidRPr="00D11809">
        <w:rPr>
          <w:szCs w:val="18"/>
        </w:rPr>
        <w:t>9</w:t>
      </w:r>
      <w:r w:rsidR="001748BF">
        <w:rPr>
          <w:szCs w:val="18"/>
        </w:rPr>
        <w:t>.</w:t>
      </w:r>
    </w:p>
  </w:footnote>
  <w:footnote w:id="7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1748BF">
        <w:rPr>
          <w:szCs w:val="18"/>
        </w:rPr>
        <w:t xml:space="preserve">See </w:t>
      </w:r>
      <w:r w:rsidRPr="00D11809">
        <w:rPr>
          <w:szCs w:val="18"/>
        </w:rPr>
        <w:t>CCPR/C/106/D/1932/2010, para. 10.8</w:t>
      </w:r>
      <w:r w:rsidR="001748BF">
        <w:rPr>
          <w:szCs w:val="18"/>
        </w:rPr>
        <w:t xml:space="preserve">, </w:t>
      </w:r>
      <w:r w:rsidRPr="00D11809">
        <w:rPr>
          <w:szCs w:val="18"/>
        </w:rPr>
        <w:t>CCPR/C/LTU/CO</w:t>
      </w:r>
      <w:r w:rsidRPr="0035771E">
        <w:rPr>
          <w:szCs w:val="18"/>
        </w:rPr>
        <w:t>/3</w:t>
      </w:r>
      <w:r w:rsidR="001748BF">
        <w:rPr>
          <w:szCs w:val="18"/>
        </w:rPr>
        <w:t>,</w:t>
      </w:r>
      <w:r w:rsidRPr="0035771E">
        <w:rPr>
          <w:szCs w:val="18"/>
        </w:rPr>
        <w:t xml:space="preserve"> para</w:t>
      </w:r>
      <w:r w:rsidR="001748BF">
        <w:rPr>
          <w:szCs w:val="18"/>
        </w:rPr>
        <w:t>.</w:t>
      </w:r>
      <w:r w:rsidRPr="0035771E">
        <w:rPr>
          <w:szCs w:val="18"/>
        </w:rPr>
        <w:t xml:space="preserve"> 8.</w:t>
      </w:r>
    </w:p>
  </w:footnote>
  <w:footnote w:id="8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Pr>
          <w:szCs w:val="18"/>
        </w:rPr>
        <w:t xml:space="preserve">See </w:t>
      </w:r>
      <w:r w:rsidRPr="00E3353B">
        <w:rPr>
          <w:szCs w:val="18"/>
        </w:rPr>
        <w:t>A/HRC/23/51</w:t>
      </w:r>
      <w:r>
        <w:rPr>
          <w:szCs w:val="18"/>
        </w:rPr>
        <w:t>,</w:t>
      </w:r>
      <w:r w:rsidRPr="00E3353B">
        <w:rPr>
          <w:szCs w:val="18"/>
        </w:rPr>
        <w:t xml:space="preserve"> UKR 3/2012</w:t>
      </w:r>
      <w:r>
        <w:rPr>
          <w:szCs w:val="18"/>
        </w:rPr>
        <w:t xml:space="preserve">; </w:t>
      </w:r>
      <w:r w:rsidRPr="00220D16">
        <w:rPr>
          <w:szCs w:val="18"/>
        </w:rPr>
        <w:t xml:space="preserve">A/HRC/25/74, MDA 4/2013; RUS 3/2013, RUS 4/2013; </w:t>
      </w:r>
      <w:r w:rsidRPr="00BA6155">
        <w:rPr>
          <w:szCs w:val="18"/>
        </w:rPr>
        <w:t>A/HRC/26/21, NGA 1/2014</w:t>
      </w:r>
      <w:r>
        <w:rPr>
          <w:szCs w:val="18"/>
        </w:rPr>
        <w:t>,</w:t>
      </w:r>
      <w:r w:rsidRPr="00222110">
        <w:rPr>
          <w:szCs w:val="18"/>
        </w:rPr>
        <w:t xml:space="preserve"> </w:t>
      </w:r>
      <w:r w:rsidRPr="00A415C5">
        <w:rPr>
          <w:szCs w:val="18"/>
        </w:rPr>
        <w:t>UGA 1/2014, UGA 1/2013</w:t>
      </w:r>
      <w:r w:rsidRPr="00BA6155">
        <w:rPr>
          <w:szCs w:val="18"/>
        </w:rPr>
        <w:t xml:space="preserve">; </w:t>
      </w:r>
      <w:r w:rsidRPr="0035771E">
        <w:rPr>
          <w:szCs w:val="18"/>
        </w:rPr>
        <w:t>A/HRC/27/72, KGZ/1/2014</w:t>
      </w:r>
      <w:r w:rsidR="001748BF">
        <w:rPr>
          <w:szCs w:val="18"/>
        </w:rPr>
        <w:t>.</w:t>
      </w:r>
      <w:r w:rsidRPr="0035771E">
        <w:rPr>
          <w:szCs w:val="18"/>
        </w:rPr>
        <w:t xml:space="preserve"> </w:t>
      </w:r>
    </w:p>
  </w:footnote>
  <w:footnote w:id="8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A/HRC/25/74</w:t>
      </w:r>
      <w:r w:rsidR="001748BF">
        <w:rPr>
          <w:szCs w:val="18"/>
        </w:rPr>
        <w:t>,</w:t>
      </w:r>
      <w:r w:rsidRPr="0035771E">
        <w:rPr>
          <w:szCs w:val="18"/>
        </w:rPr>
        <w:t xml:space="preserve"> RUS 3/2013.</w:t>
      </w:r>
    </w:p>
  </w:footnote>
  <w:footnote w:id="82">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Pr>
          <w:szCs w:val="18"/>
        </w:rPr>
        <w:t xml:space="preserve">See </w:t>
      </w:r>
      <w:r w:rsidRPr="00D6159B">
        <w:rPr>
          <w:szCs w:val="18"/>
        </w:rPr>
        <w:t>A/66/203, paras. 17</w:t>
      </w:r>
      <w:r w:rsidR="00415C9A">
        <w:rPr>
          <w:szCs w:val="18"/>
        </w:rPr>
        <w:t>-</w:t>
      </w:r>
      <w:r w:rsidRPr="00D6159B">
        <w:rPr>
          <w:szCs w:val="18"/>
        </w:rPr>
        <w:t>18</w:t>
      </w:r>
      <w:r>
        <w:rPr>
          <w:szCs w:val="18"/>
        </w:rPr>
        <w:t xml:space="preserve">, </w:t>
      </w:r>
      <w:r w:rsidRPr="0035771E">
        <w:rPr>
          <w:szCs w:val="18"/>
        </w:rPr>
        <w:t xml:space="preserve">A/69/307, paras. </w:t>
      </w:r>
      <w:r w:rsidRPr="00D11809">
        <w:rPr>
          <w:szCs w:val="18"/>
        </w:rPr>
        <w:t xml:space="preserve">84-89. </w:t>
      </w:r>
    </w:p>
  </w:footnote>
  <w:footnote w:id="83">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E057A6">
        <w:rPr>
          <w:szCs w:val="18"/>
        </w:rPr>
        <w:t xml:space="preserve">See also </w:t>
      </w:r>
      <w:r w:rsidRPr="00D11809">
        <w:rPr>
          <w:szCs w:val="18"/>
        </w:rPr>
        <w:t>A/HRC/19/41, paras. 48-73.</w:t>
      </w:r>
    </w:p>
  </w:footnote>
  <w:footnote w:id="84">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E057A6">
        <w:rPr>
          <w:szCs w:val="18"/>
        </w:rPr>
        <w:t xml:space="preserve">See </w:t>
      </w:r>
      <w:r w:rsidRPr="00D11809">
        <w:rPr>
          <w:szCs w:val="18"/>
        </w:rPr>
        <w:t>CCPR/C/TUR/CO/1</w:t>
      </w:r>
      <w:r w:rsidR="00E057A6">
        <w:rPr>
          <w:szCs w:val="18"/>
        </w:rPr>
        <w:t>,</w:t>
      </w:r>
      <w:r w:rsidRPr="00D11809">
        <w:rPr>
          <w:szCs w:val="18"/>
        </w:rPr>
        <w:t xml:space="preserve"> para</w:t>
      </w:r>
      <w:r w:rsidR="00E057A6">
        <w:rPr>
          <w:szCs w:val="18"/>
        </w:rPr>
        <w:t>.</w:t>
      </w:r>
      <w:r w:rsidRPr="00D11809">
        <w:rPr>
          <w:szCs w:val="18"/>
        </w:rPr>
        <w:t xml:space="preserve"> 10</w:t>
      </w:r>
      <w:r w:rsidR="00E057A6">
        <w:rPr>
          <w:szCs w:val="18"/>
        </w:rPr>
        <w:t xml:space="preserve">, </w:t>
      </w:r>
      <w:r w:rsidRPr="00D11809">
        <w:rPr>
          <w:szCs w:val="18"/>
        </w:rPr>
        <w:t xml:space="preserve">CEDAW/C/NOR/CO/8, </w:t>
      </w:r>
      <w:r w:rsidRPr="0035771E">
        <w:rPr>
          <w:szCs w:val="18"/>
        </w:rPr>
        <w:t>para</w:t>
      </w:r>
      <w:r>
        <w:rPr>
          <w:szCs w:val="18"/>
        </w:rPr>
        <w:t>s</w:t>
      </w:r>
      <w:r w:rsidRPr="00D11809">
        <w:rPr>
          <w:szCs w:val="18"/>
        </w:rPr>
        <w:t>. 33</w:t>
      </w:r>
      <w:r w:rsidR="00E057A6">
        <w:rPr>
          <w:szCs w:val="18"/>
        </w:rPr>
        <w:t>-</w:t>
      </w:r>
      <w:r w:rsidRPr="00D11809">
        <w:rPr>
          <w:szCs w:val="18"/>
        </w:rPr>
        <w:t xml:space="preserve">34. </w:t>
      </w:r>
    </w:p>
  </w:footnote>
  <w:footnote w:id="85">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E057A6">
        <w:rPr>
          <w:szCs w:val="18"/>
        </w:rPr>
        <w:t xml:space="preserve">See </w:t>
      </w:r>
      <w:r w:rsidRPr="0035771E">
        <w:rPr>
          <w:szCs w:val="18"/>
        </w:rPr>
        <w:t>CCPR</w:t>
      </w:r>
      <w:r w:rsidRPr="00E057A6">
        <w:rPr>
          <w:szCs w:val="18"/>
        </w:rPr>
        <w:t>/C/JAM/CO/3, paras. 8</w:t>
      </w:r>
      <w:r w:rsidR="00E057A6">
        <w:rPr>
          <w:szCs w:val="18"/>
        </w:rPr>
        <w:t>-</w:t>
      </w:r>
      <w:r w:rsidRPr="00E057A6">
        <w:rPr>
          <w:szCs w:val="18"/>
        </w:rPr>
        <w:t xml:space="preserve"> 9</w:t>
      </w:r>
      <w:r w:rsidR="00E057A6">
        <w:rPr>
          <w:szCs w:val="18"/>
        </w:rPr>
        <w:t xml:space="preserve">, </w:t>
      </w:r>
      <w:r w:rsidRPr="00E057A6">
        <w:rPr>
          <w:szCs w:val="18"/>
        </w:rPr>
        <w:t>A/HRC/14/20, paras. 20-23</w:t>
      </w:r>
      <w:r w:rsidR="00E057A6">
        <w:rPr>
          <w:szCs w:val="18"/>
        </w:rPr>
        <w:t>. See also</w:t>
      </w:r>
      <w:r w:rsidRPr="00E057A6">
        <w:rPr>
          <w:szCs w:val="18"/>
        </w:rPr>
        <w:t xml:space="preserve"> </w:t>
      </w:r>
      <w:r w:rsidRPr="0035771E">
        <w:rPr>
          <w:szCs w:val="18"/>
        </w:rPr>
        <w:t xml:space="preserve">UN Free </w:t>
      </w:r>
      <w:r w:rsidR="00720C4B">
        <w:rPr>
          <w:szCs w:val="18"/>
        </w:rPr>
        <w:t>&amp;</w:t>
      </w:r>
      <w:r w:rsidR="00720C4B" w:rsidRPr="00D11809">
        <w:rPr>
          <w:szCs w:val="18"/>
        </w:rPr>
        <w:t xml:space="preserve"> </w:t>
      </w:r>
      <w:r w:rsidRPr="0035771E">
        <w:rPr>
          <w:szCs w:val="18"/>
        </w:rPr>
        <w:t>Equal factsheet</w:t>
      </w:r>
      <w:r w:rsidR="00095E82">
        <w:rPr>
          <w:szCs w:val="18"/>
        </w:rPr>
        <w:t>,</w:t>
      </w:r>
      <w:r w:rsidRPr="0035771E">
        <w:rPr>
          <w:szCs w:val="18"/>
        </w:rPr>
        <w:t xml:space="preserve"> “Criminalization”</w:t>
      </w:r>
      <w:r w:rsidR="00720C4B">
        <w:rPr>
          <w:szCs w:val="18"/>
        </w:rPr>
        <w:t xml:space="preserve"> (available at </w:t>
      </w:r>
      <w:r w:rsidR="00720C4B" w:rsidRPr="00720C4B">
        <w:rPr>
          <w:szCs w:val="18"/>
        </w:rPr>
        <w:t>www.unfe.org/en/fact-sheets</w:t>
      </w:r>
      <w:r w:rsidR="00720C4B">
        <w:rPr>
          <w:szCs w:val="18"/>
        </w:rPr>
        <w:t>)</w:t>
      </w:r>
      <w:r w:rsidRPr="00D11809">
        <w:rPr>
          <w:szCs w:val="18"/>
        </w:rPr>
        <w:t>.</w:t>
      </w:r>
    </w:p>
  </w:footnote>
  <w:footnote w:id="86">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E057A6">
        <w:rPr>
          <w:szCs w:val="18"/>
        </w:rPr>
        <w:t xml:space="preserve">See </w:t>
      </w:r>
      <w:r w:rsidRPr="00D11809">
        <w:rPr>
          <w:szCs w:val="18"/>
        </w:rPr>
        <w:t>A/64/272</w:t>
      </w:r>
      <w:r w:rsidR="00095E82">
        <w:rPr>
          <w:szCs w:val="18"/>
        </w:rPr>
        <w:t>,</w:t>
      </w:r>
      <w:r w:rsidRPr="00D11809">
        <w:rPr>
          <w:szCs w:val="18"/>
        </w:rPr>
        <w:t xml:space="preserve"> para. 46.</w:t>
      </w:r>
    </w:p>
  </w:footnote>
  <w:footnote w:id="87">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r>
      <w:r w:rsidR="00883BFA">
        <w:rPr>
          <w:szCs w:val="18"/>
        </w:rPr>
        <w:t>See “</w:t>
      </w:r>
      <w:r w:rsidRPr="00D11809">
        <w:rPr>
          <w:szCs w:val="18"/>
        </w:rPr>
        <w:t>Secretary-General</w:t>
      </w:r>
      <w:r w:rsidR="00883BFA">
        <w:rPr>
          <w:szCs w:val="18"/>
        </w:rPr>
        <w:t>, in observance message, equates fight against homophobia with struggle to eliminate racism, promote gender equality”, press release</w:t>
      </w:r>
      <w:r w:rsidRPr="0035771E">
        <w:rPr>
          <w:szCs w:val="18"/>
        </w:rPr>
        <w:t>, 16 May 2013; E/</w:t>
      </w:r>
      <w:r w:rsidRPr="000974AA">
        <w:rPr>
          <w:szCs w:val="18"/>
        </w:rPr>
        <w:t xml:space="preserve">C.12/JAM/CO/3-4, para. 28; </w:t>
      </w:r>
      <w:r w:rsidR="00883BFA">
        <w:rPr>
          <w:szCs w:val="18"/>
        </w:rPr>
        <w:t xml:space="preserve">and </w:t>
      </w:r>
      <w:r w:rsidRPr="0035771E">
        <w:rPr>
          <w:i/>
          <w:szCs w:val="18"/>
        </w:rPr>
        <w:t>Risks, Rights and Health</w:t>
      </w:r>
      <w:r w:rsidRPr="0035771E">
        <w:rPr>
          <w:szCs w:val="18"/>
        </w:rPr>
        <w:t xml:space="preserve">, Global Commission on HIV and the Law, UNDP, 2012, </w:t>
      </w:r>
      <w:r w:rsidR="00883BFA">
        <w:rPr>
          <w:szCs w:val="18"/>
        </w:rPr>
        <w:t>in particular</w:t>
      </w:r>
      <w:r w:rsidR="00883BFA" w:rsidRPr="00D11809">
        <w:rPr>
          <w:szCs w:val="18"/>
        </w:rPr>
        <w:t xml:space="preserve"> </w:t>
      </w:r>
      <w:r w:rsidRPr="0035771E">
        <w:rPr>
          <w:szCs w:val="18"/>
        </w:rPr>
        <w:t>pp. 44-54.</w:t>
      </w:r>
    </w:p>
  </w:footnote>
  <w:footnote w:id="88">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Ibid., p. 45.</w:t>
      </w:r>
    </w:p>
  </w:footnote>
  <w:footnote w:id="89">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DB49ED">
        <w:rPr>
          <w:szCs w:val="18"/>
        </w:rPr>
        <w:t xml:space="preserve">See </w:t>
      </w:r>
      <w:r w:rsidRPr="0035771E">
        <w:rPr>
          <w:szCs w:val="18"/>
        </w:rPr>
        <w:t xml:space="preserve">A/HRC/22/53, para. </w:t>
      </w:r>
      <w:r w:rsidRPr="00D11809">
        <w:rPr>
          <w:szCs w:val="18"/>
        </w:rPr>
        <w:t>88</w:t>
      </w:r>
      <w:r w:rsidR="00DB49ED">
        <w:rPr>
          <w:szCs w:val="18"/>
        </w:rPr>
        <w:t>;</w:t>
      </w:r>
      <w:r w:rsidR="00B435EB">
        <w:rPr>
          <w:szCs w:val="18"/>
        </w:rPr>
        <w:t xml:space="preserve"> </w:t>
      </w:r>
      <w:r w:rsidR="009D1527">
        <w:rPr>
          <w:szCs w:val="18"/>
        </w:rPr>
        <w:t xml:space="preserve">Sharon Bernstein, </w:t>
      </w:r>
      <w:r w:rsidRPr="00D11809">
        <w:rPr>
          <w:szCs w:val="18"/>
        </w:rPr>
        <w:t xml:space="preserve">“Supreme Court won't intervene in California ban on gay-conversion therapy”, Reuters, 1 July 2014; </w:t>
      </w:r>
      <w:r w:rsidR="009D1527">
        <w:rPr>
          <w:szCs w:val="18"/>
        </w:rPr>
        <w:t xml:space="preserve">and Ed Adamczyk, </w:t>
      </w:r>
      <w:r w:rsidRPr="00D11809">
        <w:rPr>
          <w:szCs w:val="18"/>
        </w:rPr>
        <w:t>“Beijing court rules gay-conversion clinic treatments illegal”, UPI, 19 December 2014.</w:t>
      </w:r>
    </w:p>
  </w:footnote>
  <w:footnote w:id="9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Pr="0035771E">
        <w:rPr>
          <w:szCs w:val="18"/>
        </w:rPr>
        <w:t>CCP</w:t>
      </w:r>
      <w:r w:rsidRPr="00DB49ED">
        <w:rPr>
          <w:szCs w:val="18"/>
        </w:rPr>
        <w:t>R/C/ECU/CO/5, para. 12</w:t>
      </w:r>
      <w:r w:rsidR="00DB49ED">
        <w:rPr>
          <w:szCs w:val="18"/>
        </w:rPr>
        <w:t xml:space="preserve">. </w:t>
      </w:r>
      <w:r w:rsidR="00FE34A8">
        <w:rPr>
          <w:szCs w:val="18"/>
        </w:rPr>
        <w:t>See</w:t>
      </w:r>
      <w:r w:rsidRPr="00D11809">
        <w:rPr>
          <w:szCs w:val="18"/>
        </w:rPr>
        <w:t xml:space="preserve"> </w:t>
      </w:r>
      <w:r w:rsidR="00FE34A8">
        <w:rPr>
          <w:szCs w:val="18"/>
        </w:rPr>
        <w:t>“</w:t>
      </w:r>
      <w:r w:rsidRPr="00D11809">
        <w:rPr>
          <w:szCs w:val="18"/>
        </w:rPr>
        <w:t xml:space="preserve">IACHR </w:t>
      </w:r>
      <w:r w:rsidR="00FE34A8">
        <w:rPr>
          <w:szCs w:val="18"/>
        </w:rPr>
        <w:t xml:space="preserve">expresses concern about violence and discrimination against LGBTI persons, particularly youth, in the Americas”, </w:t>
      </w:r>
      <w:r w:rsidRPr="00D11809">
        <w:rPr>
          <w:szCs w:val="18"/>
        </w:rPr>
        <w:t>press release, 15 August 2013</w:t>
      </w:r>
      <w:r w:rsidRPr="0035771E">
        <w:rPr>
          <w:szCs w:val="18"/>
        </w:rPr>
        <w:t>.</w:t>
      </w:r>
    </w:p>
  </w:footnote>
  <w:footnote w:id="91">
    <w:p w:rsidR="000673F5" w:rsidRPr="00D11809" w:rsidRDefault="000673F5" w:rsidP="00023DDC">
      <w:pPr>
        <w:pStyle w:val="FootnoteText"/>
        <w:spacing w:line="240" w:lineRule="atLeast"/>
        <w:rPr>
          <w:rStyle w:val="FootnoteTextCharCharChar1"/>
          <w:szCs w:val="18"/>
        </w:rPr>
      </w:pPr>
      <w:r w:rsidRPr="0035771E">
        <w:rPr>
          <w:rStyle w:val="FootnoteTextCharCharChar1"/>
          <w:szCs w:val="18"/>
        </w:rPr>
        <w:tab/>
      </w:r>
      <w:r w:rsidRPr="00D11809">
        <w:rPr>
          <w:rStyle w:val="FootnoteReference"/>
          <w:szCs w:val="18"/>
        </w:rPr>
        <w:footnoteRef/>
      </w:r>
      <w:r w:rsidRPr="00D11809">
        <w:rPr>
          <w:rStyle w:val="FootnoteTextCharCharChar1"/>
          <w:szCs w:val="18"/>
        </w:rPr>
        <w:tab/>
      </w:r>
      <w:r w:rsidR="00DB49ED">
        <w:rPr>
          <w:rStyle w:val="FootnoteTextCharCharChar1"/>
          <w:szCs w:val="18"/>
        </w:rPr>
        <w:t xml:space="preserve">See </w:t>
      </w:r>
      <w:r w:rsidRPr="00D11809">
        <w:rPr>
          <w:rStyle w:val="FootnoteTextCharCharChar1"/>
          <w:szCs w:val="18"/>
        </w:rPr>
        <w:t>CRC/C/CHE/CO/2-4, para. 42</w:t>
      </w:r>
      <w:r w:rsidR="00DB49ED">
        <w:rPr>
          <w:rStyle w:val="FootnoteTextCharCharChar1"/>
          <w:szCs w:val="18"/>
        </w:rPr>
        <w:t>,</w:t>
      </w:r>
      <w:r w:rsidRPr="00D11809">
        <w:rPr>
          <w:rStyle w:val="FootnoteTextCharCharChar1"/>
          <w:szCs w:val="18"/>
        </w:rPr>
        <w:t xml:space="preserve"> CAT/C/DEU/CO/5, para, 20</w:t>
      </w:r>
      <w:r w:rsidR="00DB49ED">
        <w:rPr>
          <w:rStyle w:val="FootnoteTextCharCharChar1"/>
          <w:szCs w:val="18"/>
        </w:rPr>
        <w:t>,</w:t>
      </w:r>
      <w:r w:rsidRPr="00D11809">
        <w:rPr>
          <w:rStyle w:val="FootnoteTextCharCharChar1"/>
          <w:szCs w:val="18"/>
        </w:rPr>
        <w:t xml:space="preserve"> A/HRC/22/53, para.</w:t>
      </w:r>
      <w:r w:rsidR="00DB49ED">
        <w:rPr>
          <w:rStyle w:val="FootnoteTextCharCharChar1"/>
          <w:szCs w:val="18"/>
        </w:rPr>
        <w:t xml:space="preserve"> </w:t>
      </w:r>
      <w:r w:rsidRPr="00D11809">
        <w:rPr>
          <w:rStyle w:val="FootnoteTextCharCharChar1"/>
          <w:szCs w:val="18"/>
        </w:rPr>
        <w:t>88</w:t>
      </w:r>
      <w:r w:rsidR="00F12D56">
        <w:rPr>
          <w:rStyle w:val="FootnoteTextCharCharChar1"/>
          <w:szCs w:val="18"/>
        </w:rPr>
        <w:t>,</w:t>
      </w:r>
      <w:r w:rsidRPr="00D11809">
        <w:rPr>
          <w:rStyle w:val="FootnoteTextCharCharChar1"/>
          <w:szCs w:val="18"/>
        </w:rPr>
        <w:t xml:space="preserve"> A/64/272</w:t>
      </w:r>
      <w:r w:rsidR="00DB49ED">
        <w:rPr>
          <w:rStyle w:val="FootnoteTextCharCharChar1"/>
          <w:szCs w:val="18"/>
        </w:rPr>
        <w:t>,</w:t>
      </w:r>
      <w:r w:rsidRPr="00D11809">
        <w:rPr>
          <w:rStyle w:val="FootnoteTextCharCharChar1"/>
          <w:szCs w:val="18"/>
        </w:rPr>
        <w:t xml:space="preserve"> para. 49. </w:t>
      </w:r>
    </w:p>
  </w:footnote>
  <w:footnote w:id="92">
    <w:p w:rsidR="000673F5" w:rsidRPr="0035771E" w:rsidRDefault="000673F5" w:rsidP="00023DDC">
      <w:pPr>
        <w:pStyle w:val="FootnoteText"/>
        <w:spacing w:line="240" w:lineRule="atLeast"/>
        <w:rPr>
          <w:rStyle w:val="FootnoteTextCharCharChar1"/>
          <w:szCs w:val="18"/>
        </w:rPr>
      </w:pPr>
      <w:r w:rsidRPr="0035771E">
        <w:rPr>
          <w:rStyle w:val="FootnoteTextCharCharChar1"/>
          <w:szCs w:val="18"/>
        </w:rPr>
        <w:tab/>
      </w:r>
      <w:r w:rsidRPr="00D11809">
        <w:rPr>
          <w:rStyle w:val="FootnoteReference"/>
          <w:szCs w:val="18"/>
        </w:rPr>
        <w:footnoteRef/>
      </w:r>
      <w:r w:rsidRPr="0035771E">
        <w:rPr>
          <w:rStyle w:val="FootnoteTextCharCharChar1"/>
          <w:szCs w:val="18"/>
        </w:rPr>
        <w:tab/>
      </w:r>
      <w:r w:rsidR="00CA69D2">
        <w:rPr>
          <w:rStyle w:val="FootnoteTextCharCharChar1"/>
          <w:szCs w:val="18"/>
        </w:rPr>
        <w:t xml:space="preserve">See </w:t>
      </w:r>
      <w:r w:rsidRPr="0035771E">
        <w:rPr>
          <w:rStyle w:val="FootnoteTextCharCharChar1"/>
          <w:szCs w:val="18"/>
        </w:rPr>
        <w:t>A/HRC/25/61, annex II.</w:t>
      </w:r>
    </w:p>
  </w:footnote>
  <w:footnote w:id="93">
    <w:p w:rsidR="000673F5" w:rsidRPr="00D11809" w:rsidRDefault="000673F5" w:rsidP="00023DDC">
      <w:pPr>
        <w:pStyle w:val="FootnoteText"/>
        <w:spacing w:line="240" w:lineRule="atLeast"/>
        <w:rPr>
          <w:rStyle w:val="FootnoteTextCharCharChar1"/>
          <w:szCs w:val="18"/>
        </w:rPr>
      </w:pPr>
      <w:r w:rsidRPr="0035771E">
        <w:rPr>
          <w:rStyle w:val="FootnoteTextCharCharChar1"/>
          <w:szCs w:val="18"/>
        </w:rPr>
        <w:tab/>
      </w:r>
      <w:r w:rsidRPr="00D11809">
        <w:rPr>
          <w:rStyle w:val="FootnoteReference"/>
          <w:szCs w:val="18"/>
        </w:rPr>
        <w:footnoteRef/>
      </w:r>
      <w:r w:rsidRPr="0035771E">
        <w:rPr>
          <w:rStyle w:val="FootnoteTextCharCharChar1"/>
          <w:szCs w:val="18"/>
        </w:rPr>
        <w:tab/>
      </w:r>
      <w:r w:rsidR="00EC5205">
        <w:rPr>
          <w:rStyle w:val="FootnoteTextCharCharChar1"/>
          <w:szCs w:val="18"/>
        </w:rPr>
        <w:t xml:space="preserve">See </w:t>
      </w:r>
      <w:r w:rsidRPr="0035771E">
        <w:rPr>
          <w:rStyle w:val="FootnoteTextCharCharChar1"/>
          <w:szCs w:val="18"/>
        </w:rPr>
        <w:t xml:space="preserve">E/CN.4/2001/52, para. </w:t>
      </w:r>
      <w:r w:rsidRPr="00D11809">
        <w:rPr>
          <w:rStyle w:val="FootnoteTextCharCharChar1"/>
          <w:szCs w:val="18"/>
        </w:rPr>
        <w:t>75, E/CN.4/2006/45, para. 113</w:t>
      </w:r>
      <w:r w:rsidR="00F12D56">
        <w:rPr>
          <w:rStyle w:val="FootnoteTextCharCharChar1"/>
          <w:szCs w:val="18"/>
        </w:rPr>
        <w:t>,</w:t>
      </w:r>
      <w:r w:rsidRPr="00D11809">
        <w:rPr>
          <w:rStyle w:val="FootnoteTextCharCharChar1"/>
          <w:szCs w:val="18"/>
        </w:rPr>
        <w:t xml:space="preserve"> CRC/C/RUS/CO/4-5, para. 59</w:t>
      </w:r>
      <w:r w:rsidR="00EC5205">
        <w:rPr>
          <w:rStyle w:val="FootnoteTextCharCharChar1"/>
          <w:szCs w:val="18"/>
        </w:rPr>
        <w:t>.</w:t>
      </w:r>
    </w:p>
  </w:footnote>
  <w:footnote w:id="94">
    <w:p w:rsidR="000673F5" w:rsidRPr="0035771E" w:rsidRDefault="000673F5" w:rsidP="00023DDC">
      <w:pPr>
        <w:pStyle w:val="FootnoteText"/>
        <w:spacing w:line="240" w:lineRule="atLeast"/>
        <w:rPr>
          <w:rStyle w:val="FootnoteTextCharCharChar1"/>
          <w:szCs w:val="18"/>
        </w:rPr>
      </w:pPr>
      <w:r w:rsidRPr="0035771E">
        <w:rPr>
          <w:rStyle w:val="FootnoteTextCharCharChar1"/>
          <w:szCs w:val="18"/>
        </w:rPr>
        <w:tab/>
      </w:r>
      <w:r w:rsidRPr="00D11809">
        <w:rPr>
          <w:rStyle w:val="FootnoteReference"/>
          <w:szCs w:val="18"/>
        </w:rPr>
        <w:footnoteRef/>
      </w:r>
      <w:r w:rsidRPr="00D11809">
        <w:rPr>
          <w:rStyle w:val="FootnoteTextCharCharChar1"/>
          <w:szCs w:val="18"/>
        </w:rPr>
        <w:tab/>
      </w:r>
      <w:r w:rsidR="00C80896" w:rsidRPr="008F4F69">
        <w:rPr>
          <w:i/>
          <w:szCs w:val="18"/>
        </w:rPr>
        <w:t>EU LGBT Survey</w:t>
      </w:r>
      <w:r w:rsidR="00C80896">
        <w:rPr>
          <w:szCs w:val="18"/>
        </w:rPr>
        <w:t>,</w:t>
      </w:r>
      <w:r w:rsidR="00C80896" w:rsidRPr="00D11809">
        <w:rPr>
          <w:rStyle w:val="FootnoteTextCharCharChar1"/>
          <w:szCs w:val="18"/>
        </w:rPr>
        <w:t xml:space="preserve"> </w:t>
      </w:r>
      <w:r w:rsidRPr="0035771E">
        <w:rPr>
          <w:rStyle w:val="FootnoteTextCharCharChar1"/>
          <w:szCs w:val="18"/>
        </w:rPr>
        <w:t>EU Agency for Fundamental Rights</w:t>
      </w:r>
      <w:r w:rsidR="00C80896">
        <w:rPr>
          <w:rStyle w:val="FootnoteTextCharCharChar1"/>
          <w:szCs w:val="18"/>
        </w:rPr>
        <w:t xml:space="preserve"> (see footnote</w:t>
      </w:r>
      <w:r w:rsidR="00023DDC">
        <w:rPr>
          <w:rStyle w:val="FootnoteTextCharCharChar1"/>
          <w:szCs w:val="18"/>
        </w:rPr>
        <w:t xml:space="preserve"> 50</w:t>
      </w:r>
      <w:r w:rsidR="00C80896">
        <w:rPr>
          <w:rStyle w:val="FootnoteTextCharCharChar1"/>
          <w:szCs w:val="18"/>
        </w:rPr>
        <w:t>)</w:t>
      </w:r>
      <w:r w:rsidRPr="0035771E">
        <w:rPr>
          <w:rStyle w:val="FootnoteTextCharCharChar1"/>
          <w:szCs w:val="18"/>
        </w:rPr>
        <w:t>, p. 12.</w:t>
      </w:r>
    </w:p>
  </w:footnote>
  <w:footnote w:id="95">
    <w:p w:rsidR="000673F5" w:rsidRPr="0035771E" w:rsidRDefault="000673F5" w:rsidP="00023DDC">
      <w:pPr>
        <w:pStyle w:val="FootnoteText"/>
        <w:spacing w:line="240" w:lineRule="atLeast"/>
        <w:rPr>
          <w:rStyle w:val="FootnoteTextCharCharChar1"/>
          <w:szCs w:val="18"/>
        </w:rPr>
      </w:pPr>
      <w:r w:rsidRPr="0035771E">
        <w:rPr>
          <w:rStyle w:val="FootnoteTextCharCharChar1"/>
          <w:szCs w:val="18"/>
        </w:rPr>
        <w:tab/>
      </w:r>
      <w:r w:rsidRPr="00D11809">
        <w:rPr>
          <w:rStyle w:val="FootnoteReference"/>
          <w:szCs w:val="18"/>
        </w:rPr>
        <w:footnoteRef/>
      </w:r>
      <w:r w:rsidRPr="00D11809">
        <w:rPr>
          <w:rStyle w:val="FootnoteTextCharCharChar1"/>
          <w:szCs w:val="18"/>
        </w:rPr>
        <w:tab/>
        <w:t xml:space="preserve">“Bullying </w:t>
      </w:r>
      <w:r w:rsidR="00C80896">
        <w:rPr>
          <w:rStyle w:val="FootnoteTextCharCharChar1"/>
          <w:szCs w:val="18"/>
        </w:rPr>
        <w:t>t</w:t>
      </w:r>
      <w:r w:rsidRPr="0035771E">
        <w:rPr>
          <w:rStyle w:val="FootnoteTextCharCharChar1"/>
          <w:szCs w:val="18"/>
        </w:rPr>
        <w:t xml:space="preserve">argeting </w:t>
      </w:r>
      <w:r w:rsidR="00C80896">
        <w:rPr>
          <w:rStyle w:val="FootnoteTextCharCharChar1"/>
          <w:szCs w:val="18"/>
        </w:rPr>
        <w:t>s</w:t>
      </w:r>
      <w:r w:rsidRPr="0035771E">
        <w:rPr>
          <w:rStyle w:val="FootnoteTextCharCharChar1"/>
          <w:szCs w:val="18"/>
        </w:rPr>
        <w:t xml:space="preserve">econdary </w:t>
      </w:r>
      <w:r w:rsidR="00C80896">
        <w:rPr>
          <w:rStyle w:val="FootnoteTextCharCharChar1"/>
          <w:szCs w:val="18"/>
        </w:rPr>
        <w:t>s</w:t>
      </w:r>
      <w:r w:rsidRPr="0035771E">
        <w:rPr>
          <w:rStyle w:val="FootnoteTextCharCharChar1"/>
          <w:szCs w:val="18"/>
        </w:rPr>
        <w:t xml:space="preserve">chool </w:t>
      </w:r>
      <w:r w:rsidR="00C80896">
        <w:rPr>
          <w:rStyle w:val="FootnoteTextCharCharChar1"/>
          <w:szCs w:val="18"/>
        </w:rPr>
        <w:t>s</w:t>
      </w:r>
      <w:r w:rsidRPr="0035771E">
        <w:rPr>
          <w:rStyle w:val="FootnoteTextCharCharChar1"/>
          <w:szCs w:val="18"/>
        </w:rPr>
        <w:t xml:space="preserve">tudents </w:t>
      </w:r>
      <w:r w:rsidR="00C80896">
        <w:rPr>
          <w:rStyle w:val="FootnoteTextCharCharChar1"/>
          <w:szCs w:val="18"/>
        </w:rPr>
        <w:t>w</w:t>
      </w:r>
      <w:r w:rsidRPr="0035771E">
        <w:rPr>
          <w:rStyle w:val="FootnoteTextCharCharChar1"/>
          <w:szCs w:val="18"/>
        </w:rPr>
        <w:t xml:space="preserve">ho </w:t>
      </w:r>
      <w:r w:rsidR="00C80896">
        <w:rPr>
          <w:rStyle w:val="FootnoteTextCharCharChar1"/>
          <w:szCs w:val="18"/>
        </w:rPr>
        <w:t>a</w:t>
      </w:r>
      <w:r w:rsidRPr="0035771E">
        <w:rPr>
          <w:rStyle w:val="FootnoteTextCharCharChar1"/>
          <w:szCs w:val="18"/>
        </w:rPr>
        <w:t xml:space="preserve">re or </w:t>
      </w:r>
      <w:r w:rsidR="00C80896">
        <w:rPr>
          <w:rStyle w:val="FootnoteTextCharCharChar1"/>
          <w:szCs w:val="18"/>
        </w:rPr>
        <w:t>a</w:t>
      </w:r>
      <w:r w:rsidRPr="0035771E">
        <w:rPr>
          <w:rStyle w:val="FootnoteTextCharCharChar1"/>
          <w:szCs w:val="18"/>
        </w:rPr>
        <w:t xml:space="preserve">re </w:t>
      </w:r>
      <w:r w:rsidR="00C80896">
        <w:rPr>
          <w:rStyle w:val="FootnoteTextCharCharChar1"/>
          <w:szCs w:val="18"/>
        </w:rPr>
        <w:t>p</w:t>
      </w:r>
      <w:r w:rsidRPr="0035771E">
        <w:rPr>
          <w:rStyle w:val="FootnoteTextCharCharChar1"/>
          <w:szCs w:val="18"/>
        </w:rPr>
        <w:t xml:space="preserve">erceived to </w:t>
      </w:r>
      <w:r w:rsidR="00C80896">
        <w:rPr>
          <w:rStyle w:val="FootnoteTextCharCharChar1"/>
          <w:szCs w:val="18"/>
        </w:rPr>
        <w:t>b</w:t>
      </w:r>
      <w:r w:rsidRPr="0035771E">
        <w:rPr>
          <w:rStyle w:val="FootnoteTextCharCharChar1"/>
          <w:szCs w:val="18"/>
        </w:rPr>
        <w:t xml:space="preserve">e </w:t>
      </w:r>
      <w:r w:rsidR="00C80896">
        <w:rPr>
          <w:rStyle w:val="FootnoteTextCharCharChar1"/>
          <w:szCs w:val="18"/>
        </w:rPr>
        <w:t>t</w:t>
      </w:r>
      <w:r w:rsidRPr="0035771E">
        <w:rPr>
          <w:rStyle w:val="FootnoteTextCharCharChar1"/>
          <w:szCs w:val="18"/>
        </w:rPr>
        <w:t xml:space="preserve">ransgender or </w:t>
      </w:r>
      <w:r w:rsidR="00C80896">
        <w:rPr>
          <w:rStyle w:val="FootnoteTextCharCharChar1"/>
          <w:szCs w:val="18"/>
        </w:rPr>
        <w:t>s</w:t>
      </w:r>
      <w:r w:rsidRPr="0035771E">
        <w:rPr>
          <w:rStyle w:val="FootnoteTextCharCharChar1"/>
          <w:szCs w:val="18"/>
        </w:rPr>
        <w:t xml:space="preserve">ame-sex </w:t>
      </w:r>
      <w:r w:rsidR="00C80896">
        <w:rPr>
          <w:rStyle w:val="FootnoteTextCharCharChar1"/>
          <w:szCs w:val="18"/>
        </w:rPr>
        <w:t>a</w:t>
      </w:r>
      <w:r w:rsidRPr="0035771E">
        <w:rPr>
          <w:rStyle w:val="FootnoteTextCharCharChar1"/>
          <w:szCs w:val="18"/>
        </w:rPr>
        <w:t xml:space="preserve">ttracted”, Mahidol University, Plan International Thailand, UNESCO, 2014, p. 14. </w:t>
      </w:r>
    </w:p>
  </w:footnote>
  <w:footnote w:id="96">
    <w:p w:rsidR="000673F5" w:rsidRPr="00D11809" w:rsidRDefault="000673F5" w:rsidP="00023DDC">
      <w:pPr>
        <w:pStyle w:val="FootnoteText"/>
        <w:spacing w:line="240" w:lineRule="atLeast"/>
        <w:rPr>
          <w:rStyle w:val="FootnoteTextCharCharChar1"/>
          <w:szCs w:val="18"/>
        </w:rPr>
      </w:pPr>
      <w:r w:rsidRPr="0035771E">
        <w:rPr>
          <w:rStyle w:val="FootnoteTextCharCharChar1"/>
          <w:szCs w:val="18"/>
        </w:rPr>
        <w:tab/>
      </w:r>
      <w:r w:rsidRPr="00D11809">
        <w:rPr>
          <w:rStyle w:val="FootnoteReference"/>
          <w:szCs w:val="18"/>
        </w:rPr>
        <w:footnoteRef/>
      </w:r>
      <w:r w:rsidRPr="0035771E">
        <w:rPr>
          <w:rStyle w:val="FootnoteTextCharCharChar1"/>
          <w:szCs w:val="18"/>
        </w:rPr>
        <w:tab/>
      </w:r>
      <w:r w:rsidR="00D74C84">
        <w:rPr>
          <w:rStyle w:val="FootnoteTextCharCharChar1"/>
          <w:szCs w:val="18"/>
        </w:rPr>
        <w:t xml:space="preserve">See </w:t>
      </w:r>
      <w:r w:rsidRPr="0035771E">
        <w:rPr>
          <w:rStyle w:val="FootnoteTextCharCharChar1"/>
          <w:szCs w:val="18"/>
        </w:rPr>
        <w:t xml:space="preserve">CRC/C/RUS/CO/4-5, para. </w:t>
      </w:r>
      <w:r w:rsidRPr="00023DDC">
        <w:rPr>
          <w:rStyle w:val="FootnoteTextCharCharChar1"/>
          <w:szCs w:val="18"/>
        </w:rPr>
        <w:t>55</w:t>
      </w:r>
      <w:r w:rsidR="00D74C84" w:rsidRPr="00023DDC">
        <w:rPr>
          <w:rStyle w:val="FootnoteTextCharCharChar1"/>
          <w:szCs w:val="18"/>
        </w:rPr>
        <w:t>,</w:t>
      </w:r>
      <w:r w:rsidRPr="00023DDC">
        <w:rPr>
          <w:rStyle w:val="FootnoteTextCharCharChar1"/>
          <w:szCs w:val="18"/>
        </w:rPr>
        <w:t xml:space="preserve"> CRC/GC/2003/4, paras. 26</w:t>
      </w:r>
      <w:r w:rsidRPr="00D11809">
        <w:rPr>
          <w:rStyle w:val="FootnoteTextCharCharChar1"/>
          <w:szCs w:val="18"/>
        </w:rPr>
        <w:t>,</w:t>
      </w:r>
      <w:r w:rsidRPr="00023DDC">
        <w:rPr>
          <w:rStyle w:val="FootnoteTextCharCharChar1"/>
          <w:szCs w:val="18"/>
        </w:rPr>
        <w:t xml:space="preserve"> 28; </w:t>
      </w:r>
      <w:r w:rsidR="00D74C84" w:rsidRPr="00D11809">
        <w:rPr>
          <w:rStyle w:val="FootnoteTextCharCharChar1"/>
          <w:szCs w:val="18"/>
        </w:rPr>
        <w:t>A/65/162, p</w:t>
      </w:r>
      <w:r w:rsidR="00D74C84">
        <w:rPr>
          <w:rStyle w:val="FootnoteTextCharCharChar1"/>
          <w:szCs w:val="18"/>
        </w:rPr>
        <w:t>aras</w:t>
      </w:r>
      <w:r w:rsidR="00D74C84" w:rsidRPr="00D11809">
        <w:rPr>
          <w:rStyle w:val="FootnoteTextCharCharChar1"/>
          <w:szCs w:val="18"/>
        </w:rPr>
        <w:t>. 4, 6, 23, 63</w:t>
      </w:r>
      <w:r w:rsidR="00F12D56">
        <w:rPr>
          <w:rStyle w:val="FootnoteTextCharCharChar1"/>
          <w:szCs w:val="18"/>
        </w:rPr>
        <w:t>,</w:t>
      </w:r>
      <w:r w:rsidR="00D74C84" w:rsidRPr="00E871A5">
        <w:rPr>
          <w:rStyle w:val="FootnoteTextCharCharChar1"/>
          <w:szCs w:val="18"/>
        </w:rPr>
        <w:t xml:space="preserve"> </w:t>
      </w:r>
      <w:r w:rsidRPr="00023DDC">
        <w:rPr>
          <w:rStyle w:val="FootnoteTextCharCharChar1"/>
          <w:szCs w:val="18"/>
        </w:rPr>
        <w:t xml:space="preserve">A/68/290, paras. </w:t>
      </w:r>
      <w:r w:rsidRPr="00D11809">
        <w:rPr>
          <w:rStyle w:val="FootnoteTextCharCharChar1"/>
          <w:szCs w:val="18"/>
        </w:rPr>
        <w:t>52, 54</w:t>
      </w:r>
      <w:r w:rsidR="00D74C84">
        <w:rPr>
          <w:rStyle w:val="FootnoteTextCharCharChar1"/>
          <w:szCs w:val="18"/>
        </w:rPr>
        <w:t>.</w:t>
      </w:r>
    </w:p>
  </w:footnote>
  <w:footnote w:id="97">
    <w:p w:rsidR="000673F5" w:rsidRPr="0035771E" w:rsidRDefault="000673F5" w:rsidP="00023DDC">
      <w:pPr>
        <w:pStyle w:val="FootnoteText"/>
        <w:spacing w:line="240" w:lineRule="atLeast"/>
        <w:rPr>
          <w:rStyle w:val="FootnoteTextCharCharChar1"/>
          <w:szCs w:val="18"/>
        </w:rPr>
      </w:pPr>
      <w:r w:rsidRPr="0035771E">
        <w:rPr>
          <w:rStyle w:val="FootnoteTextCharCharChar1"/>
          <w:szCs w:val="18"/>
        </w:rPr>
        <w:tab/>
      </w:r>
      <w:r w:rsidRPr="00D11809">
        <w:rPr>
          <w:rStyle w:val="FootnoteReference"/>
          <w:szCs w:val="18"/>
        </w:rPr>
        <w:footnoteRef/>
      </w:r>
      <w:r w:rsidRPr="0035771E">
        <w:rPr>
          <w:rStyle w:val="FootnoteTextCharCharChar1"/>
          <w:szCs w:val="18"/>
        </w:rPr>
        <w:tab/>
        <w:t xml:space="preserve"> ILGA, </w:t>
      </w:r>
      <w:r w:rsidR="00880606" w:rsidRPr="008F4F69">
        <w:rPr>
          <w:i/>
          <w:szCs w:val="18"/>
        </w:rPr>
        <w:t>State-sponsored Homophobia</w:t>
      </w:r>
      <w:r w:rsidR="00880606">
        <w:rPr>
          <w:szCs w:val="18"/>
        </w:rPr>
        <w:t xml:space="preserve"> (see footnote</w:t>
      </w:r>
      <w:r w:rsidR="00023DDC">
        <w:rPr>
          <w:szCs w:val="18"/>
        </w:rPr>
        <w:t xml:space="preserve"> 70</w:t>
      </w:r>
      <w:r w:rsidR="00880606">
        <w:rPr>
          <w:szCs w:val="18"/>
        </w:rPr>
        <w:t xml:space="preserve">), </w:t>
      </w:r>
      <w:r w:rsidRPr="0035771E">
        <w:rPr>
          <w:rStyle w:val="FootnoteTextCharCharChar1"/>
          <w:szCs w:val="18"/>
        </w:rPr>
        <w:t>p.</w:t>
      </w:r>
      <w:r w:rsidR="00023DDC">
        <w:rPr>
          <w:rStyle w:val="FootnoteTextCharCharChar1"/>
          <w:szCs w:val="18"/>
        </w:rPr>
        <w:t xml:space="preserve"> </w:t>
      </w:r>
      <w:r w:rsidRPr="0035771E">
        <w:rPr>
          <w:rStyle w:val="FootnoteTextCharCharChar1"/>
          <w:szCs w:val="18"/>
        </w:rPr>
        <w:t>21.</w:t>
      </w:r>
    </w:p>
  </w:footnote>
  <w:footnote w:id="98">
    <w:p w:rsidR="000673F5" w:rsidRPr="0035771E" w:rsidRDefault="000673F5" w:rsidP="00023DDC">
      <w:pPr>
        <w:pStyle w:val="FootnoteText"/>
        <w:spacing w:line="240" w:lineRule="atLeast"/>
        <w:rPr>
          <w:rStyle w:val="FootnoteTextChar"/>
          <w:szCs w:val="18"/>
        </w:rPr>
      </w:pPr>
      <w:r w:rsidRPr="0035771E">
        <w:rPr>
          <w:rStyle w:val="FootnoteTextChar"/>
          <w:szCs w:val="18"/>
        </w:rPr>
        <w:tab/>
      </w:r>
      <w:r w:rsidRPr="00D11809">
        <w:rPr>
          <w:rStyle w:val="FootnoteReference"/>
          <w:szCs w:val="18"/>
        </w:rPr>
        <w:footnoteRef/>
      </w:r>
      <w:r w:rsidRPr="0035771E">
        <w:rPr>
          <w:rStyle w:val="FootnoteTextChar"/>
          <w:szCs w:val="18"/>
        </w:rPr>
        <w:tab/>
      </w:r>
      <w:r w:rsidR="00575D32">
        <w:rPr>
          <w:rStyle w:val="FootnoteTextChar"/>
          <w:szCs w:val="18"/>
        </w:rPr>
        <w:t xml:space="preserve">See </w:t>
      </w:r>
      <w:r w:rsidRPr="0035771E">
        <w:rPr>
          <w:rStyle w:val="FootnoteTextChar"/>
          <w:szCs w:val="18"/>
        </w:rPr>
        <w:t xml:space="preserve">A/69/318, para.17; </w:t>
      </w:r>
      <w:r w:rsidR="00575D32">
        <w:rPr>
          <w:rStyle w:val="FootnoteTextChar"/>
          <w:szCs w:val="18"/>
        </w:rPr>
        <w:t xml:space="preserve">and </w:t>
      </w:r>
      <w:r w:rsidR="00B8574D">
        <w:rPr>
          <w:rStyle w:val="FootnoteTextChar"/>
          <w:szCs w:val="18"/>
        </w:rPr>
        <w:t>“Discrimination at work on the basis of sexual orientation and gender identity: Results of pilot research” (</w:t>
      </w:r>
      <w:r w:rsidRPr="00D11809">
        <w:rPr>
          <w:rStyle w:val="FootnoteTextChar"/>
          <w:szCs w:val="18"/>
        </w:rPr>
        <w:t>GB.319/LILS/INF/1</w:t>
      </w:r>
      <w:r w:rsidR="00B8574D">
        <w:rPr>
          <w:rStyle w:val="FootnoteTextChar"/>
          <w:szCs w:val="18"/>
        </w:rPr>
        <w:t>)</w:t>
      </w:r>
      <w:r w:rsidRPr="00D11809">
        <w:rPr>
          <w:rStyle w:val="FootnoteTextChar"/>
          <w:szCs w:val="18"/>
        </w:rPr>
        <w:t xml:space="preserve">, International Labour Office, </w:t>
      </w:r>
      <w:r w:rsidR="00B8574D">
        <w:rPr>
          <w:rStyle w:val="FootnoteTextChar"/>
          <w:szCs w:val="18"/>
        </w:rPr>
        <w:t xml:space="preserve">October </w:t>
      </w:r>
      <w:r w:rsidRPr="00D11809">
        <w:rPr>
          <w:rStyle w:val="FootnoteTextChar"/>
          <w:szCs w:val="18"/>
        </w:rPr>
        <w:t>2013, p</w:t>
      </w:r>
      <w:r w:rsidR="00B8574D">
        <w:rPr>
          <w:rStyle w:val="FootnoteTextChar"/>
          <w:szCs w:val="18"/>
        </w:rPr>
        <w:t>p</w:t>
      </w:r>
      <w:r w:rsidRPr="00D11809">
        <w:rPr>
          <w:rStyle w:val="FootnoteTextChar"/>
          <w:szCs w:val="18"/>
        </w:rPr>
        <w:t>. 2</w:t>
      </w:r>
      <w:r w:rsidR="00B8574D">
        <w:rPr>
          <w:rStyle w:val="FootnoteTextChar"/>
          <w:szCs w:val="18"/>
        </w:rPr>
        <w:t>-</w:t>
      </w:r>
      <w:r w:rsidRPr="0035771E">
        <w:rPr>
          <w:rStyle w:val="FootnoteTextChar"/>
          <w:szCs w:val="18"/>
        </w:rPr>
        <w:t>3.</w:t>
      </w:r>
    </w:p>
  </w:footnote>
  <w:footnote w:id="9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B8574D" w:rsidRPr="008F4F69">
        <w:rPr>
          <w:i/>
          <w:szCs w:val="18"/>
        </w:rPr>
        <w:t>EU LGBT Survey</w:t>
      </w:r>
      <w:r w:rsidR="00B8574D">
        <w:rPr>
          <w:szCs w:val="18"/>
        </w:rPr>
        <w:t>,</w:t>
      </w:r>
      <w:r w:rsidRPr="0035771E">
        <w:rPr>
          <w:szCs w:val="18"/>
        </w:rPr>
        <w:t xml:space="preserve"> EU Agency for Fundamental Rights</w:t>
      </w:r>
      <w:r w:rsidR="00B8574D">
        <w:rPr>
          <w:szCs w:val="18"/>
        </w:rPr>
        <w:t xml:space="preserve"> (see footnote</w:t>
      </w:r>
      <w:r w:rsidR="00023DDC">
        <w:rPr>
          <w:szCs w:val="18"/>
        </w:rPr>
        <w:t xml:space="preserve"> 50</w:t>
      </w:r>
      <w:r w:rsidR="00B8574D">
        <w:rPr>
          <w:szCs w:val="18"/>
        </w:rPr>
        <w:t>)</w:t>
      </w:r>
      <w:r w:rsidRPr="00D11809">
        <w:rPr>
          <w:szCs w:val="18"/>
        </w:rPr>
        <w:t>, p.</w:t>
      </w:r>
      <w:r w:rsidRPr="0035771E">
        <w:rPr>
          <w:szCs w:val="18"/>
        </w:rPr>
        <w:t xml:space="preserve">17; </w:t>
      </w:r>
      <w:r w:rsidR="00B8574D">
        <w:rPr>
          <w:szCs w:val="18"/>
        </w:rPr>
        <w:t xml:space="preserve">April Guasp, </w:t>
      </w:r>
      <w:r w:rsidRPr="00D11809">
        <w:rPr>
          <w:szCs w:val="18"/>
        </w:rPr>
        <w:t>“Gay in Britain: Lesbian, Gay and Bisexual People’s Experiences and Expectations of Discrimination”, Stonewall, 2012, p</w:t>
      </w:r>
      <w:r w:rsidR="00B8574D">
        <w:rPr>
          <w:szCs w:val="18"/>
        </w:rPr>
        <w:t>p</w:t>
      </w:r>
      <w:r w:rsidRPr="00D11809">
        <w:rPr>
          <w:szCs w:val="18"/>
        </w:rPr>
        <w:t>.</w:t>
      </w:r>
      <w:r w:rsidRPr="0035771E">
        <w:rPr>
          <w:szCs w:val="18"/>
        </w:rPr>
        <w:t xml:space="preserve">3, 19. </w:t>
      </w:r>
    </w:p>
  </w:footnote>
  <w:footnote w:id="10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046F3C">
        <w:rPr>
          <w:szCs w:val="18"/>
        </w:rPr>
        <w:t xml:space="preserve">See </w:t>
      </w:r>
      <w:r w:rsidRPr="0035771E">
        <w:rPr>
          <w:szCs w:val="18"/>
        </w:rPr>
        <w:t>A/69/274</w:t>
      </w:r>
      <w:r w:rsidR="00046F3C">
        <w:rPr>
          <w:szCs w:val="18"/>
        </w:rPr>
        <w:t>,</w:t>
      </w:r>
      <w:r w:rsidRPr="0035771E">
        <w:rPr>
          <w:szCs w:val="18"/>
        </w:rPr>
        <w:t xml:space="preserve"> para</w:t>
      </w:r>
      <w:r w:rsidR="00F12D56">
        <w:rPr>
          <w:szCs w:val="18"/>
        </w:rPr>
        <w:t>.</w:t>
      </w:r>
      <w:r w:rsidRPr="0035771E">
        <w:rPr>
          <w:szCs w:val="18"/>
        </w:rPr>
        <w:t xml:space="preserve"> 12.</w:t>
      </w:r>
    </w:p>
  </w:footnote>
  <w:footnote w:id="10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046F3C">
        <w:rPr>
          <w:szCs w:val="18"/>
        </w:rPr>
        <w:t xml:space="preserve">See </w:t>
      </w:r>
      <w:r w:rsidRPr="0035771E">
        <w:rPr>
          <w:szCs w:val="18"/>
        </w:rPr>
        <w:t>A/HRC/19/53</w:t>
      </w:r>
      <w:r w:rsidR="00046F3C">
        <w:rPr>
          <w:szCs w:val="18"/>
        </w:rPr>
        <w:t>,</w:t>
      </w:r>
      <w:r w:rsidRPr="0035771E">
        <w:rPr>
          <w:szCs w:val="18"/>
        </w:rPr>
        <w:t xml:space="preserve"> paras</w:t>
      </w:r>
      <w:r w:rsidR="00046F3C">
        <w:rPr>
          <w:szCs w:val="18"/>
        </w:rPr>
        <w:t>.</w:t>
      </w:r>
      <w:r w:rsidRPr="0035771E">
        <w:rPr>
          <w:szCs w:val="18"/>
        </w:rPr>
        <w:t xml:space="preserve"> 50, 51, 63.</w:t>
      </w:r>
    </w:p>
  </w:footnote>
  <w:footnote w:id="102">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t xml:space="preserve">See “Serving Our Youth”, </w:t>
      </w:r>
      <w:r w:rsidRPr="0035771E">
        <w:rPr>
          <w:szCs w:val="18"/>
        </w:rPr>
        <w:t>Williams Institute</w:t>
      </w:r>
      <w:r w:rsidR="00B51A98">
        <w:rPr>
          <w:szCs w:val="18"/>
        </w:rPr>
        <w:t>,</w:t>
      </w:r>
      <w:r w:rsidRPr="0035771E">
        <w:rPr>
          <w:szCs w:val="18"/>
        </w:rPr>
        <w:t xml:space="preserve"> True Colors Fund and </w:t>
      </w:r>
      <w:r w:rsidR="00B51A98">
        <w:rPr>
          <w:szCs w:val="18"/>
        </w:rPr>
        <w:t>t</w:t>
      </w:r>
      <w:r w:rsidRPr="0035771E">
        <w:rPr>
          <w:szCs w:val="18"/>
        </w:rPr>
        <w:t>he Palette Fund, 2012, p. 3.</w:t>
      </w:r>
    </w:p>
  </w:footnote>
  <w:footnote w:id="10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750C2D">
        <w:rPr>
          <w:szCs w:val="18"/>
        </w:rPr>
        <w:t xml:space="preserve">See </w:t>
      </w:r>
      <w:r w:rsidRPr="0035771E">
        <w:rPr>
          <w:szCs w:val="18"/>
        </w:rPr>
        <w:t>CCPR/C/GEO/CO/4, para. 8</w:t>
      </w:r>
      <w:r w:rsidR="00F12D56">
        <w:rPr>
          <w:szCs w:val="18"/>
        </w:rPr>
        <w:t>,</w:t>
      </w:r>
      <w:r w:rsidRPr="0035771E">
        <w:rPr>
          <w:szCs w:val="18"/>
        </w:rPr>
        <w:t xml:space="preserve"> A/HRC/26/30/Add.2, p</w:t>
      </w:r>
      <w:r w:rsidR="00010323">
        <w:rPr>
          <w:szCs w:val="18"/>
        </w:rPr>
        <w:t>ara</w:t>
      </w:r>
      <w:r w:rsidRPr="0035771E">
        <w:rPr>
          <w:szCs w:val="18"/>
        </w:rPr>
        <w:t>. 77.</w:t>
      </w:r>
    </w:p>
  </w:footnote>
  <w:footnote w:id="104">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750C2D">
        <w:rPr>
          <w:szCs w:val="18"/>
        </w:rPr>
        <w:t xml:space="preserve">See </w:t>
      </w:r>
      <w:r w:rsidRPr="0035771E">
        <w:rPr>
          <w:szCs w:val="18"/>
        </w:rPr>
        <w:t>A/HRC/20/22/Add.2, para. 55</w:t>
      </w:r>
      <w:r w:rsidR="00F12D56">
        <w:rPr>
          <w:szCs w:val="18"/>
        </w:rPr>
        <w:t>,</w:t>
      </w:r>
      <w:r w:rsidRPr="0035771E">
        <w:rPr>
          <w:szCs w:val="18"/>
        </w:rPr>
        <w:t xml:space="preserve"> A/64/211, paras. 21-27. </w:t>
      </w:r>
    </w:p>
  </w:footnote>
  <w:footnote w:id="105">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456286">
        <w:rPr>
          <w:szCs w:val="18"/>
        </w:rPr>
        <w:t xml:space="preserve">See </w:t>
      </w:r>
      <w:r w:rsidRPr="0035771E">
        <w:rPr>
          <w:szCs w:val="18"/>
        </w:rPr>
        <w:t>A/69/307, para. 30.</w:t>
      </w:r>
    </w:p>
  </w:footnote>
  <w:footnote w:id="106">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456286">
        <w:rPr>
          <w:szCs w:val="18"/>
        </w:rPr>
        <w:t xml:space="preserve">See </w:t>
      </w:r>
      <w:r w:rsidRPr="0035771E">
        <w:rPr>
          <w:szCs w:val="18"/>
        </w:rPr>
        <w:t>A/HRC/23/34/Add.1, paras. 101-103.</w:t>
      </w:r>
    </w:p>
  </w:footnote>
  <w:footnote w:id="107">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456286">
        <w:rPr>
          <w:szCs w:val="18"/>
        </w:rPr>
        <w:t xml:space="preserve">See </w:t>
      </w:r>
      <w:r w:rsidRPr="0035771E">
        <w:rPr>
          <w:szCs w:val="18"/>
        </w:rPr>
        <w:t>A/HRC/22/53/Add.4, para</w:t>
      </w:r>
      <w:r w:rsidR="00456286">
        <w:rPr>
          <w:szCs w:val="18"/>
        </w:rPr>
        <w:t>.</w:t>
      </w:r>
      <w:r w:rsidRPr="0035771E">
        <w:rPr>
          <w:szCs w:val="18"/>
        </w:rPr>
        <w:t xml:space="preserve"> 162.</w:t>
      </w:r>
    </w:p>
  </w:footnote>
  <w:footnote w:id="108">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 xml:space="preserve">A/HRC/25/74, </w:t>
      </w:r>
      <w:r w:rsidR="00010323">
        <w:rPr>
          <w:szCs w:val="18"/>
        </w:rPr>
        <w:t>MKD 2/2013</w:t>
      </w:r>
      <w:r w:rsidR="00F12D56">
        <w:rPr>
          <w:szCs w:val="18"/>
        </w:rPr>
        <w:t>;</w:t>
      </w:r>
      <w:r w:rsidR="00456286">
        <w:rPr>
          <w:szCs w:val="18"/>
        </w:rPr>
        <w:t xml:space="preserve"> </w:t>
      </w:r>
      <w:r w:rsidRPr="0035771E">
        <w:rPr>
          <w:szCs w:val="18"/>
        </w:rPr>
        <w:t xml:space="preserve">A/HRC/23/51, </w:t>
      </w:r>
      <w:r w:rsidR="00010323">
        <w:rPr>
          <w:szCs w:val="18"/>
        </w:rPr>
        <w:t>CRI 2/2012</w:t>
      </w:r>
      <w:r w:rsidRPr="0035771E">
        <w:rPr>
          <w:szCs w:val="18"/>
        </w:rPr>
        <w:t>.</w:t>
      </w:r>
    </w:p>
  </w:footnote>
  <w:footnote w:id="10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456286">
        <w:rPr>
          <w:szCs w:val="18"/>
        </w:rPr>
        <w:t xml:space="preserve">See </w:t>
      </w:r>
      <w:r w:rsidRPr="0035771E">
        <w:rPr>
          <w:szCs w:val="18"/>
        </w:rPr>
        <w:t>A/69/307, para. 86</w:t>
      </w:r>
      <w:r w:rsidR="00456286">
        <w:rPr>
          <w:szCs w:val="18"/>
        </w:rPr>
        <w:t>,</w:t>
      </w:r>
      <w:r w:rsidRPr="0035771E">
        <w:rPr>
          <w:szCs w:val="18"/>
        </w:rPr>
        <w:t xml:space="preserve"> </w:t>
      </w:r>
      <w:r w:rsidR="00A9644E" w:rsidRPr="000801E1">
        <w:rPr>
          <w:szCs w:val="18"/>
        </w:rPr>
        <w:t>A/HRC/22/53/Add. 4, para. 162</w:t>
      </w:r>
      <w:r w:rsidR="00456286">
        <w:rPr>
          <w:szCs w:val="18"/>
        </w:rPr>
        <w:t>,</w:t>
      </w:r>
      <w:r w:rsidR="00A9644E">
        <w:rPr>
          <w:szCs w:val="18"/>
        </w:rPr>
        <w:t xml:space="preserve"> </w:t>
      </w:r>
      <w:r w:rsidR="00A9644E" w:rsidRPr="0063766A">
        <w:rPr>
          <w:szCs w:val="18"/>
        </w:rPr>
        <w:t>A/HRC/25/71, para. 55</w:t>
      </w:r>
      <w:r w:rsidR="00F12D56">
        <w:rPr>
          <w:szCs w:val="18"/>
        </w:rPr>
        <w:t>,</w:t>
      </w:r>
      <w:r w:rsidR="00A9644E">
        <w:rPr>
          <w:szCs w:val="18"/>
        </w:rPr>
        <w:t xml:space="preserve"> </w:t>
      </w:r>
      <w:r w:rsidRPr="0035771E">
        <w:rPr>
          <w:szCs w:val="18"/>
        </w:rPr>
        <w:t xml:space="preserve">A/HRC/26/52, para. 33. </w:t>
      </w:r>
    </w:p>
  </w:footnote>
  <w:footnote w:id="110">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26160F">
        <w:rPr>
          <w:szCs w:val="18"/>
        </w:rPr>
        <w:t xml:space="preserve">See </w:t>
      </w:r>
      <w:r w:rsidR="008947DA" w:rsidRPr="00E7148F">
        <w:rPr>
          <w:bCs/>
          <w:color w:val="000000"/>
          <w:szCs w:val="18"/>
        </w:rPr>
        <w:t>A/HRC/23/34, paras. 49</w:t>
      </w:r>
      <w:r w:rsidR="008947DA">
        <w:rPr>
          <w:bCs/>
          <w:color w:val="000000"/>
          <w:szCs w:val="18"/>
        </w:rPr>
        <w:t>-</w:t>
      </w:r>
      <w:r w:rsidR="008947DA" w:rsidRPr="00E7148F">
        <w:rPr>
          <w:bCs/>
          <w:color w:val="000000"/>
          <w:szCs w:val="18"/>
        </w:rPr>
        <w:t>50</w:t>
      </w:r>
      <w:r w:rsidR="00F12D56">
        <w:rPr>
          <w:bCs/>
          <w:color w:val="000000"/>
          <w:szCs w:val="18"/>
        </w:rPr>
        <w:t>,</w:t>
      </w:r>
      <w:r w:rsidR="008947DA">
        <w:rPr>
          <w:bCs/>
          <w:color w:val="000000"/>
          <w:szCs w:val="18"/>
        </w:rPr>
        <w:t xml:space="preserve"> </w:t>
      </w:r>
      <w:r w:rsidRPr="0035771E">
        <w:rPr>
          <w:szCs w:val="18"/>
        </w:rPr>
        <w:t>A/HRC/26/36/</w:t>
      </w:r>
      <w:r w:rsidR="008947DA">
        <w:rPr>
          <w:szCs w:val="18"/>
        </w:rPr>
        <w:t>A</w:t>
      </w:r>
      <w:r w:rsidRPr="0035771E">
        <w:rPr>
          <w:szCs w:val="18"/>
        </w:rPr>
        <w:t>dd.2, paras. 43-45</w:t>
      </w:r>
      <w:r w:rsidRPr="0035771E">
        <w:rPr>
          <w:bCs/>
          <w:color w:val="000000"/>
          <w:szCs w:val="18"/>
        </w:rPr>
        <w:t>.</w:t>
      </w:r>
    </w:p>
  </w:footnote>
  <w:footnote w:id="111">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t>CCPR/C/109/D/1873/2009, para. 9.6</w:t>
      </w:r>
      <w:r w:rsidR="00F12D56">
        <w:rPr>
          <w:szCs w:val="18"/>
        </w:rPr>
        <w:t>,</w:t>
      </w:r>
      <w:r w:rsidRPr="0035771E">
        <w:rPr>
          <w:szCs w:val="18"/>
        </w:rPr>
        <w:t xml:space="preserve"> A/HRC/23/49/Add.4, para. 22. </w:t>
      </w:r>
    </w:p>
  </w:footnote>
  <w:footnote w:id="112">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C70D9F">
        <w:rPr>
          <w:szCs w:val="18"/>
        </w:rPr>
        <w:t xml:space="preserve">See </w:t>
      </w:r>
      <w:r w:rsidRPr="0035771E">
        <w:rPr>
          <w:szCs w:val="18"/>
        </w:rPr>
        <w:t xml:space="preserve">A/HRC/10/12/Add.1, paras. </w:t>
      </w:r>
      <w:r w:rsidRPr="00D11809">
        <w:rPr>
          <w:szCs w:val="18"/>
        </w:rPr>
        <w:t>275-280</w:t>
      </w:r>
      <w:r w:rsidR="00C70D9F">
        <w:rPr>
          <w:szCs w:val="18"/>
        </w:rPr>
        <w:t>,</w:t>
      </w:r>
      <w:r w:rsidRPr="0035771E">
        <w:rPr>
          <w:szCs w:val="18"/>
        </w:rPr>
        <w:t xml:space="preserve"> A/HRC/11/4/Add.1, paras. 289-2</w:t>
      </w:r>
      <w:r w:rsidR="00595E44" w:rsidRPr="0035771E">
        <w:rPr>
          <w:szCs w:val="18"/>
        </w:rPr>
        <w:t>29</w:t>
      </w:r>
      <w:r w:rsidR="00595E44">
        <w:rPr>
          <w:szCs w:val="18"/>
        </w:rPr>
        <w:t>4</w:t>
      </w:r>
      <w:r w:rsidR="00F12D56">
        <w:rPr>
          <w:szCs w:val="18"/>
        </w:rPr>
        <w:t>,</w:t>
      </w:r>
      <w:r w:rsidRPr="00D11809">
        <w:rPr>
          <w:szCs w:val="18"/>
        </w:rPr>
        <w:t xml:space="preserve"> A/HRC/16/44/Add.1, paras. 1157–1164.</w:t>
      </w:r>
    </w:p>
  </w:footnote>
  <w:footnote w:id="11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BA15C5">
        <w:rPr>
          <w:szCs w:val="18"/>
        </w:rPr>
        <w:t xml:space="preserve">See </w:t>
      </w:r>
      <w:r w:rsidRPr="0035771E">
        <w:rPr>
          <w:szCs w:val="18"/>
        </w:rPr>
        <w:t>A/HRC/2</w:t>
      </w:r>
      <w:r w:rsidRPr="00BA15C5">
        <w:rPr>
          <w:szCs w:val="18"/>
        </w:rPr>
        <w:t>2/47/Add.1, para. 88</w:t>
      </w:r>
      <w:r w:rsidR="00BA15C5">
        <w:rPr>
          <w:szCs w:val="18"/>
        </w:rPr>
        <w:t>, and</w:t>
      </w:r>
      <w:r w:rsidR="00763365">
        <w:rPr>
          <w:szCs w:val="18"/>
        </w:rPr>
        <w:t xml:space="preserve"> </w:t>
      </w:r>
      <w:r w:rsidRPr="0035771E">
        <w:rPr>
          <w:szCs w:val="18"/>
        </w:rPr>
        <w:t xml:space="preserve">“Study on the </w:t>
      </w:r>
      <w:r w:rsidR="00ED6DC9">
        <w:rPr>
          <w:szCs w:val="18"/>
        </w:rPr>
        <w:t>s</w:t>
      </w:r>
      <w:r w:rsidRPr="0035771E">
        <w:rPr>
          <w:szCs w:val="18"/>
        </w:rPr>
        <w:t xml:space="preserve">ituation of </w:t>
      </w:r>
      <w:r w:rsidR="00ED6DC9">
        <w:rPr>
          <w:szCs w:val="18"/>
        </w:rPr>
        <w:t>w</w:t>
      </w:r>
      <w:r w:rsidRPr="0035771E">
        <w:rPr>
          <w:szCs w:val="18"/>
        </w:rPr>
        <w:t xml:space="preserve">omen </w:t>
      </w:r>
      <w:r w:rsidR="00ED6DC9">
        <w:rPr>
          <w:szCs w:val="18"/>
        </w:rPr>
        <w:t>h</w:t>
      </w:r>
      <w:r w:rsidRPr="0035771E">
        <w:rPr>
          <w:szCs w:val="18"/>
        </w:rPr>
        <w:t xml:space="preserve">uman </w:t>
      </w:r>
      <w:r w:rsidR="00ED6DC9">
        <w:rPr>
          <w:szCs w:val="18"/>
        </w:rPr>
        <w:t>r</w:t>
      </w:r>
      <w:r w:rsidRPr="0035771E">
        <w:rPr>
          <w:szCs w:val="18"/>
        </w:rPr>
        <w:t xml:space="preserve">ights </w:t>
      </w:r>
      <w:r w:rsidR="00ED6DC9">
        <w:rPr>
          <w:szCs w:val="18"/>
        </w:rPr>
        <w:t>d</w:t>
      </w:r>
      <w:r w:rsidRPr="0035771E">
        <w:rPr>
          <w:szCs w:val="18"/>
        </w:rPr>
        <w:t>efenders in Africa”, Special Rapporteur on human rights defenders, African Commission on Human and People</w:t>
      </w:r>
      <w:r w:rsidR="00DE37AF">
        <w:rPr>
          <w:szCs w:val="18"/>
        </w:rPr>
        <w:t>s</w:t>
      </w:r>
      <w:r w:rsidRPr="00D11809">
        <w:rPr>
          <w:szCs w:val="18"/>
        </w:rPr>
        <w:t>’</w:t>
      </w:r>
      <w:r w:rsidRPr="0035771E">
        <w:rPr>
          <w:szCs w:val="18"/>
        </w:rPr>
        <w:t xml:space="preserve"> Rights, 2015. </w:t>
      </w:r>
    </w:p>
  </w:footnote>
  <w:footnote w:id="114">
    <w:p w:rsidR="000673F5" w:rsidRPr="00D11809"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t>A/69/CRP.1, p. 15.</w:t>
      </w:r>
    </w:p>
  </w:footnote>
  <w:footnote w:id="115">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7B29E8">
        <w:rPr>
          <w:szCs w:val="18"/>
        </w:rPr>
        <w:t xml:space="preserve">UNHCR, </w:t>
      </w:r>
      <w:r w:rsidRPr="0035771E">
        <w:rPr>
          <w:szCs w:val="18"/>
        </w:rPr>
        <w:t>HCR/GIP/12/09</w:t>
      </w:r>
      <w:r w:rsidR="007B29E8">
        <w:rPr>
          <w:szCs w:val="18"/>
        </w:rPr>
        <w:t xml:space="preserve"> (see footnote</w:t>
      </w:r>
      <w:r w:rsidR="00023DDC">
        <w:rPr>
          <w:szCs w:val="18"/>
        </w:rPr>
        <w:t xml:space="preserve"> 8</w:t>
      </w:r>
      <w:r w:rsidR="007B29E8">
        <w:rPr>
          <w:szCs w:val="18"/>
        </w:rPr>
        <w:t>)</w:t>
      </w:r>
      <w:r w:rsidRPr="0035771E">
        <w:rPr>
          <w:szCs w:val="18"/>
        </w:rPr>
        <w:t>.</w:t>
      </w:r>
    </w:p>
  </w:footnote>
  <w:footnote w:id="116">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763365">
        <w:rPr>
          <w:szCs w:val="18"/>
        </w:rPr>
        <w:t xml:space="preserve">See </w:t>
      </w:r>
      <w:r w:rsidRPr="0035771E">
        <w:rPr>
          <w:szCs w:val="18"/>
        </w:rPr>
        <w:t xml:space="preserve">A/HRC/22/53/Add.4, para. 178. </w:t>
      </w:r>
    </w:p>
  </w:footnote>
  <w:footnote w:id="117">
    <w:p w:rsidR="000673F5" w:rsidRPr="0035771E" w:rsidRDefault="000673F5" w:rsidP="00023DDC">
      <w:pPr>
        <w:pStyle w:val="FootnoteText"/>
        <w:spacing w:line="240" w:lineRule="atLeast"/>
        <w:rPr>
          <w:szCs w:val="18"/>
        </w:rPr>
      </w:pPr>
      <w:r w:rsidRPr="0035771E">
        <w:rPr>
          <w:color w:val="333333"/>
          <w:szCs w:val="18"/>
        </w:rPr>
        <w:tab/>
      </w:r>
      <w:r w:rsidRPr="00D11809">
        <w:rPr>
          <w:rStyle w:val="FootnoteReference"/>
          <w:szCs w:val="18"/>
        </w:rPr>
        <w:footnoteRef/>
      </w:r>
      <w:r w:rsidRPr="0035771E">
        <w:rPr>
          <w:color w:val="333333"/>
          <w:szCs w:val="18"/>
        </w:rPr>
        <w:tab/>
      </w:r>
      <w:r w:rsidR="00763365">
        <w:rPr>
          <w:color w:val="333333"/>
          <w:szCs w:val="18"/>
        </w:rPr>
        <w:t xml:space="preserve">See </w:t>
      </w:r>
      <w:r w:rsidRPr="0035771E">
        <w:rPr>
          <w:color w:val="333333"/>
          <w:szCs w:val="18"/>
        </w:rPr>
        <w:t>CCPR/C/108/D/2149/2012</w:t>
      </w:r>
      <w:r w:rsidR="00763365">
        <w:rPr>
          <w:color w:val="333333"/>
          <w:szCs w:val="18"/>
        </w:rPr>
        <w:t>,</w:t>
      </w:r>
      <w:r w:rsidRPr="0035771E">
        <w:rPr>
          <w:color w:val="333333"/>
          <w:szCs w:val="18"/>
        </w:rPr>
        <w:t xml:space="preserve"> para 2.4</w:t>
      </w:r>
      <w:r w:rsidR="00F12D56">
        <w:rPr>
          <w:color w:val="333333"/>
          <w:szCs w:val="18"/>
        </w:rPr>
        <w:t>,</w:t>
      </w:r>
      <w:r w:rsidR="00763365">
        <w:rPr>
          <w:color w:val="333333"/>
          <w:szCs w:val="18"/>
        </w:rPr>
        <w:t xml:space="preserve"> </w:t>
      </w:r>
      <w:r w:rsidRPr="0035771E">
        <w:rPr>
          <w:szCs w:val="18"/>
        </w:rPr>
        <w:t>CCPR/C/103/D/1833/2008, para</w:t>
      </w:r>
      <w:r w:rsidR="00763365">
        <w:rPr>
          <w:szCs w:val="18"/>
        </w:rPr>
        <w:t>.</w:t>
      </w:r>
      <w:r w:rsidRPr="0035771E">
        <w:rPr>
          <w:szCs w:val="18"/>
        </w:rPr>
        <w:t xml:space="preserve"> 9.2.</w:t>
      </w:r>
    </w:p>
  </w:footnote>
  <w:footnote w:id="118">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3416E2">
        <w:rPr>
          <w:szCs w:val="18"/>
        </w:rPr>
        <w:t>See A/68/290, para. 38,</w:t>
      </w:r>
      <w:r w:rsidR="003416E2" w:rsidRPr="00A11A7E">
        <w:rPr>
          <w:szCs w:val="18"/>
        </w:rPr>
        <w:t xml:space="preserve"> </w:t>
      </w:r>
      <w:r w:rsidR="003416E2" w:rsidRPr="00314C45">
        <w:rPr>
          <w:szCs w:val="18"/>
        </w:rPr>
        <w:t>A/HRC/20/16/Add.4, para. 20</w:t>
      </w:r>
      <w:r w:rsidR="003416E2">
        <w:rPr>
          <w:szCs w:val="18"/>
        </w:rPr>
        <w:t xml:space="preserve">, </w:t>
      </w:r>
      <w:r w:rsidR="003416E2" w:rsidRPr="001F2C3D">
        <w:rPr>
          <w:szCs w:val="18"/>
        </w:rPr>
        <w:t>A/HRC/22/56, para. 70</w:t>
      </w:r>
      <w:r w:rsidR="00F12D56">
        <w:rPr>
          <w:szCs w:val="18"/>
        </w:rPr>
        <w:t>,</w:t>
      </w:r>
      <w:r w:rsidR="003416E2">
        <w:rPr>
          <w:szCs w:val="18"/>
        </w:rPr>
        <w:t xml:space="preserve"> </w:t>
      </w:r>
      <w:r w:rsidRPr="0035771E">
        <w:rPr>
          <w:szCs w:val="18"/>
        </w:rPr>
        <w:t>A/HRC/26/38/Add.1, para. 19.</w:t>
      </w:r>
    </w:p>
  </w:footnote>
  <w:footnote w:id="119">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7E4665">
        <w:rPr>
          <w:szCs w:val="18"/>
        </w:rPr>
        <w:t xml:space="preserve">See </w:t>
      </w:r>
      <w:r w:rsidRPr="0035771E">
        <w:rPr>
          <w:szCs w:val="18"/>
        </w:rPr>
        <w:t>CCPR/C/75/D/902/1999.</w:t>
      </w:r>
    </w:p>
  </w:footnote>
  <w:footnote w:id="120">
    <w:p w:rsidR="000673F5" w:rsidRPr="0035771E" w:rsidRDefault="000673F5" w:rsidP="00023DDC">
      <w:pPr>
        <w:pStyle w:val="FootnoteText"/>
        <w:spacing w:line="240" w:lineRule="atLeast"/>
        <w:rPr>
          <w:b/>
          <w:szCs w:val="18"/>
        </w:rPr>
      </w:pPr>
      <w:r w:rsidRPr="0035771E">
        <w:rPr>
          <w:szCs w:val="18"/>
        </w:rPr>
        <w:tab/>
      </w:r>
      <w:r w:rsidRPr="00D11809">
        <w:rPr>
          <w:rStyle w:val="FootnoteReference"/>
          <w:szCs w:val="18"/>
        </w:rPr>
        <w:footnoteRef/>
      </w:r>
      <w:r w:rsidRPr="0035771E">
        <w:rPr>
          <w:szCs w:val="18"/>
        </w:rPr>
        <w:tab/>
        <w:t>E/C.12/BGR/CO/4-5, para17; E/C.12/SVK/CO/2, para</w:t>
      </w:r>
      <w:r w:rsidR="00F12D56">
        <w:rPr>
          <w:szCs w:val="18"/>
        </w:rPr>
        <w:t>.</w:t>
      </w:r>
      <w:r w:rsidRPr="0035771E">
        <w:rPr>
          <w:szCs w:val="18"/>
        </w:rPr>
        <w:t xml:space="preserve"> 10.</w:t>
      </w:r>
    </w:p>
  </w:footnote>
  <w:footnote w:id="121">
    <w:p w:rsidR="000673F5" w:rsidRPr="0035771E" w:rsidRDefault="000673F5" w:rsidP="00023DDC">
      <w:pPr>
        <w:pStyle w:val="FootnoteText"/>
        <w:spacing w:line="240" w:lineRule="atLeast"/>
        <w:rPr>
          <w:szCs w:val="18"/>
        </w:rPr>
      </w:pPr>
      <w:r w:rsidRPr="00D11809">
        <w:rPr>
          <w:szCs w:val="18"/>
        </w:rPr>
        <w:tab/>
      </w:r>
      <w:r w:rsidRPr="00D11809">
        <w:rPr>
          <w:rStyle w:val="FootnoteReference"/>
          <w:szCs w:val="18"/>
        </w:rPr>
        <w:footnoteRef/>
      </w:r>
      <w:r w:rsidRPr="00D11809">
        <w:rPr>
          <w:szCs w:val="18"/>
        </w:rPr>
        <w:tab/>
        <w:t xml:space="preserve">ILGA, </w:t>
      </w:r>
      <w:r w:rsidR="00D423DC" w:rsidRPr="008F4F69">
        <w:rPr>
          <w:i/>
          <w:szCs w:val="18"/>
        </w:rPr>
        <w:t>State-sponsored Homophobia</w:t>
      </w:r>
      <w:r w:rsidR="00D423DC">
        <w:rPr>
          <w:szCs w:val="18"/>
        </w:rPr>
        <w:t xml:space="preserve"> (see footnote</w:t>
      </w:r>
      <w:r w:rsidR="00023DDC">
        <w:rPr>
          <w:szCs w:val="18"/>
        </w:rPr>
        <w:t xml:space="preserve"> 70</w:t>
      </w:r>
      <w:r w:rsidR="00D423DC">
        <w:rPr>
          <w:szCs w:val="18"/>
        </w:rPr>
        <w:t>)</w:t>
      </w:r>
      <w:r w:rsidRPr="0035771E">
        <w:rPr>
          <w:szCs w:val="18"/>
        </w:rPr>
        <w:t>, pp. 26-28.</w:t>
      </w:r>
    </w:p>
  </w:footnote>
  <w:footnote w:id="122">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D11809">
        <w:rPr>
          <w:szCs w:val="18"/>
        </w:rPr>
        <w:tab/>
      </w:r>
      <w:r w:rsidR="007E4665">
        <w:rPr>
          <w:szCs w:val="18"/>
        </w:rPr>
        <w:t xml:space="preserve">See </w:t>
      </w:r>
      <w:r w:rsidRPr="0035771E">
        <w:rPr>
          <w:szCs w:val="18"/>
        </w:rPr>
        <w:t>CCPR/C/C</w:t>
      </w:r>
      <w:r w:rsidRPr="007E4665">
        <w:rPr>
          <w:szCs w:val="18"/>
        </w:rPr>
        <w:t>HN/HKG/CO/3</w:t>
      </w:r>
      <w:r w:rsidR="007E4665">
        <w:rPr>
          <w:szCs w:val="18"/>
        </w:rPr>
        <w:t>,</w:t>
      </w:r>
      <w:r w:rsidRPr="007E4665">
        <w:rPr>
          <w:szCs w:val="18"/>
        </w:rPr>
        <w:t xml:space="preserve"> para. </w:t>
      </w:r>
      <w:r w:rsidRPr="0035771E">
        <w:rPr>
          <w:szCs w:val="18"/>
        </w:rPr>
        <w:t>23</w:t>
      </w:r>
      <w:r w:rsidR="007E4665">
        <w:rPr>
          <w:szCs w:val="18"/>
        </w:rPr>
        <w:t>,</w:t>
      </w:r>
      <w:r w:rsidR="007E4665" w:rsidRPr="007E4665">
        <w:rPr>
          <w:szCs w:val="18"/>
        </w:rPr>
        <w:t xml:space="preserve"> </w:t>
      </w:r>
      <w:r w:rsidR="007E4665" w:rsidRPr="008B7BD8">
        <w:rPr>
          <w:szCs w:val="18"/>
        </w:rPr>
        <w:t>CCPR/C/78/D/941/2000, para. 10.4</w:t>
      </w:r>
      <w:r w:rsidR="00F12D56">
        <w:rPr>
          <w:szCs w:val="18"/>
        </w:rPr>
        <w:t>,</w:t>
      </w:r>
      <w:r w:rsidRPr="0035771E">
        <w:rPr>
          <w:szCs w:val="18"/>
        </w:rPr>
        <w:t xml:space="preserve"> CEDAW/C/SRB/CO/2-3, para. </w:t>
      </w:r>
      <w:r w:rsidRPr="00D11809">
        <w:rPr>
          <w:szCs w:val="18"/>
        </w:rPr>
        <w:t>39</w:t>
      </w:r>
      <w:r w:rsidR="007E4665">
        <w:rPr>
          <w:szCs w:val="18"/>
        </w:rPr>
        <w:t>(d)</w:t>
      </w:r>
      <w:r w:rsidRPr="00D11809">
        <w:rPr>
          <w:szCs w:val="18"/>
        </w:rPr>
        <w:t>; also</w:t>
      </w:r>
      <w:r w:rsidRPr="0035771E">
        <w:rPr>
          <w:szCs w:val="18"/>
        </w:rPr>
        <w:t xml:space="preserve"> </w:t>
      </w:r>
      <w:r w:rsidRPr="0035771E">
        <w:rPr>
          <w:color w:val="000000"/>
          <w:szCs w:val="18"/>
        </w:rPr>
        <w:t xml:space="preserve">European Court of Human Rights, </w:t>
      </w:r>
      <w:r w:rsidR="00D423DC">
        <w:rPr>
          <w:color w:val="000000"/>
          <w:szCs w:val="18"/>
        </w:rPr>
        <w:t xml:space="preserve">applications </w:t>
      </w:r>
      <w:hyperlink r:id="rId1" w:anchor="{&quot;appno&quot;:[&quot;29381/09&quot;]}" w:tgtFrame="_blank" w:history="1">
        <w:r w:rsidRPr="0035771E">
          <w:rPr>
            <w:rStyle w:val="Hyperlink"/>
            <w:color w:val="000000"/>
            <w:szCs w:val="18"/>
          </w:rPr>
          <w:t>29381/09</w:t>
        </w:r>
      </w:hyperlink>
      <w:r w:rsidRPr="00D11809">
        <w:rPr>
          <w:rStyle w:val="s6b621b36"/>
          <w:color w:val="000000"/>
          <w:szCs w:val="18"/>
        </w:rPr>
        <w:t xml:space="preserve"> and </w:t>
      </w:r>
      <w:hyperlink r:id="rId2" w:anchor="{&quot;appno&quot;:[&quot;32684/09&quot;]}" w:tgtFrame="_blank" w:history="1">
        <w:r w:rsidRPr="0035771E">
          <w:rPr>
            <w:rStyle w:val="Hyperlink"/>
            <w:color w:val="000000"/>
            <w:szCs w:val="18"/>
          </w:rPr>
          <w:t>32684/09</w:t>
        </w:r>
      </w:hyperlink>
      <w:r w:rsidRPr="00D11809">
        <w:rPr>
          <w:rStyle w:val="s6b621b36"/>
          <w:color w:val="000000"/>
          <w:szCs w:val="18"/>
        </w:rPr>
        <w:t xml:space="preserve">, </w:t>
      </w:r>
      <w:r w:rsidRPr="0035771E">
        <w:rPr>
          <w:rStyle w:val="s6b621b36"/>
          <w:szCs w:val="18"/>
        </w:rPr>
        <w:t>7 November 2013, paras. 79-81</w:t>
      </w:r>
      <w:r w:rsidRPr="0035771E">
        <w:rPr>
          <w:szCs w:val="18"/>
        </w:rPr>
        <w:t>.</w:t>
      </w:r>
    </w:p>
  </w:footnote>
  <w:footnote w:id="123">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431F62">
        <w:rPr>
          <w:szCs w:val="18"/>
        </w:rPr>
        <w:t>See</w:t>
      </w:r>
      <w:r w:rsidR="003A3785">
        <w:rPr>
          <w:szCs w:val="18"/>
        </w:rPr>
        <w:t xml:space="preserve"> </w:t>
      </w:r>
      <w:r w:rsidRPr="0035771E">
        <w:rPr>
          <w:szCs w:val="18"/>
        </w:rPr>
        <w:t>CRC/C/GC/15</w:t>
      </w:r>
      <w:r w:rsidR="003A3785">
        <w:rPr>
          <w:szCs w:val="18"/>
        </w:rPr>
        <w:t>,</w:t>
      </w:r>
      <w:r w:rsidRPr="0035771E">
        <w:rPr>
          <w:szCs w:val="18"/>
        </w:rPr>
        <w:t xml:space="preserve"> para.8</w:t>
      </w:r>
      <w:r w:rsidR="003A3785">
        <w:rPr>
          <w:szCs w:val="18"/>
        </w:rPr>
        <w:t xml:space="preserve"> and</w:t>
      </w:r>
      <w:r w:rsidRPr="0035771E">
        <w:rPr>
          <w:szCs w:val="18"/>
        </w:rPr>
        <w:t xml:space="preserve"> CRC/C/GAM/CO/2-3</w:t>
      </w:r>
      <w:r w:rsidR="003A3785">
        <w:rPr>
          <w:szCs w:val="18"/>
        </w:rPr>
        <w:t>,</w:t>
      </w:r>
      <w:r w:rsidRPr="0035771E">
        <w:rPr>
          <w:szCs w:val="18"/>
        </w:rPr>
        <w:t xml:space="preserve"> paras. </w:t>
      </w:r>
      <w:r w:rsidRPr="00D11809">
        <w:rPr>
          <w:szCs w:val="18"/>
        </w:rPr>
        <w:t>29-30;</w:t>
      </w:r>
      <w:r w:rsidR="003A3785">
        <w:rPr>
          <w:szCs w:val="18"/>
        </w:rPr>
        <w:t xml:space="preserve"> and</w:t>
      </w:r>
      <w:r w:rsidRPr="0035771E">
        <w:rPr>
          <w:szCs w:val="18"/>
        </w:rPr>
        <w:t xml:space="preserve"> </w:t>
      </w:r>
      <w:r w:rsidRPr="0035771E">
        <w:rPr>
          <w:rStyle w:val="Emphasis"/>
          <w:i w:val="0"/>
          <w:color w:val="000000"/>
          <w:szCs w:val="18"/>
        </w:rPr>
        <w:t xml:space="preserve">“Eliminating </w:t>
      </w:r>
      <w:r w:rsidR="0043541D">
        <w:rPr>
          <w:rStyle w:val="Emphasis"/>
          <w:i w:val="0"/>
          <w:color w:val="000000"/>
          <w:szCs w:val="18"/>
        </w:rPr>
        <w:t>d</w:t>
      </w:r>
      <w:r w:rsidRPr="0035771E">
        <w:rPr>
          <w:rStyle w:val="Emphasis"/>
          <w:i w:val="0"/>
          <w:color w:val="000000"/>
          <w:szCs w:val="18"/>
        </w:rPr>
        <w:t xml:space="preserve">iscrimination </w:t>
      </w:r>
      <w:r w:rsidR="0043541D">
        <w:rPr>
          <w:rStyle w:val="Emphasis"/>
          <w:i w:val="0"/>
          <w:color w:val="000000"/>
          <w:szCs w:val="18"/>
        </w:rPr>
        <w:t>a</w:t>
      </w:r>
      <w:r w:rsidRPr="0035771E">
        <w:rPr>
          <w:rStyle w:val="Emphasis"/>
          <w:i w:val="0"/>
          <w:color w:val="000000"/>
          <w:szCs w:val="18"/>
        </w:rPr>
        <w:t xml:space="preserve">gainst </w:t>
      </w:r>
      <w:r w:rsidR="0043541D">
        <w:rPr>
          <w:rStyle w:val="Emphasis"/>
          <w:i w:val="0"/>
          <w:color w:val="000000"/>
          <w:szCs w:val="18"/>
        </w:rPr>
        <w:t>c</w:t>
      </w:r>
      <w:r w:rsidRPr="0035771E">
        <w:rPr>
          <w:rStyle w:val="Emphasis"/>
          <w:i w:val="0"/>
          <w:color w:val="000000"/>
          <w:szCs w:val="18"/>
        </w:rPr>
        <w:t xml:space="preserve">hildren and </w:t>
      </w:r>
      <w:r w:rsidR="0043541D">
        <w:rPr>
          <w:rStyle w:val="Emphasis"/>
          <w:i w:val="0"/>
          <w:color w:val="000000"/>
          <w:szCs w:val="18"/>
        </w:rPr>
        <w:t>p</w:t>
      </w:r>
      <w:r w:rsidRPr="0035771E">
        <w:rPr>
          <w:rStyle w:val="Emphasis"/>
          <w:i w:val="0"/>
          <w:color w:val="000000"/>
          <w:szCs w:val="18"/>
        </w:rPr>
        <w:t xml:space="preserve">arents </w:t>
      </w:r>
      <w:r w:rsidR="00431F62">
        <w:rPr>
          <w:rStyle w:val="Emphasis"/>
          <w:i w:val="0"/>
          <w:color w:val="000000"/>
          <w:szCs w:val="18"/>
        </w:rPr>
        <w:t>b</w:t>
      </w:r>
      <w:r w:rsidRPr="0035771E">
        <w:rPr>
          <w:rStyle w:val="Emphasis"/>
          <w:i w:val="0"/>
          <w:color w:val="000000"/>
          <w:szCs w:val="18"/>
        </w:rPr>
        <w:t xml:space="preserve">ased on </w:t>
      </w:r>
      <w:r w:rsidR="00431F62">
        <w:rPr>
          <w:rStyle w:val="Emphasis"/>
          <w:i w:val="0"/>
          <w:color w:val="000000"/>
          <w:szCs w:val="18"/>
        </w:rPr>
        <w:t>s</w:t>
      </w:r>
      <w:r w:rsidRPr="0035771E">
        <w:rPr>
          <w:rStyle w:val="Emphasis"/>
          <w:i w:val="0"/>
          <w:color w:val="000000"/>
          <w:szCs w:val="18"/>
        </w:rPr>
        <w:t xml:space="preserve">exual </w:t>
      </w:r>
      <w:r w:rsidR="00431F62">
        <w:rPr>
          <w:rStyle w:val="Emphasis"/>
          <w:i w:val="0"/>
          <w:color w:val="000000"/>
          <w:szCs w:val="18"/>
        </w:rPr>
        <w:t>o</w:t>
      </w:r>
      <w:r w:rsidRPr="0035771E">
        <w:rPr>
          <w:rStyle w:val="Emphasis"/>
          <w:i w:val="0"/>
          <w:color w:val="000000"/>
          <w:szCs w:val="18"/>
        </w:rPr>
        <w:t xml:space="preserve">rientation and/or </w:t>
      </w:r>
      <w:r w:rsidR="00431F62">
        <w:rPr>
          <w:rStyle w:val="Emphasis"/>
          <w:i w:val="0"/>
          <w:color w:val="000000"/>
          <w:szCs w:val="18"/>
        </w:rPr>
        <w:t>g</w:t>
      </w:r>
      <w:r w:rsidRPr="0035771E">
        <w:rPr>
          <w:rStyle w:val="Emphasis"/>
          <w:i w:val="0"/>
          <w:color w:val="000000"/>
          <w:szCs w:val="18"/>
        </w:rPr>
        <w:t xml:space="preserve">ender </w:t>
      </w:r>
      <w:r w:rsidR="00431F62">
        <w:rPr>
          <w:rStyle w:val="Emphasis"/>
          <w:i w:val="0"/>
          <w:color w:val="000000"/>
          <w:szCs w:val="18"/>
        </w:rPr>
        <w:t>i</w:t>
      </w:r>
      <w:r w:rsidRPr="0035771E">
        <w:rPr>
          <w:rStyle w:val="Emphasis"/>
          <w:i w:val="0"/>
          <w:color w:val="000000"/>
          <w:szCs w:val="18"/>
        </w:rPr>
        <w:t>dentity</w:t>
      </w:r>
      <w:r w:rsidRPr="00D11809">
        <w:rPr>
          <w:rStyle w:val="Emphasis"/>
          <w:i w:val="0"/>
          <w:color w:val="000000"/>
          <w:szCs w:val="18"/>
        </w:rPr>
        <w:t>”</w:t>
      </w:r>
      <w:r w:rsidRPr="0035771E">
        <w:rPr>
          <w:rStyle w:val="Emphasis"/>
          <w:color w:val="000000"/>
          <w:szCs w:val="18"/>
        </w:rPr>
        <w:t xml:space="preserve">, </w:t>
      </w:r>
      <w:r w:rsidRPr="0035771E">
        <w:rPr>
          <w:rStyle w:val="Emphasis"/>
          <w:i w:val="0"/>
          <w:color w:val="000000"/>
          <w:szCs w:val="18"/>
        </w:rPr>
        <w:t xml:space="preserve">UNICEF, </w:t>
      </w:r>
      <w:r w:rsidR="00431F62">
        <w:rPr>
          <w:rStyle w:val="Emphasis"/>
          <w:i w:val="0"/>
          <w:color w:val="000000"/>
          <w:szCs w:val="18"/>
        </w:rPr>
        <w:t xml:space="preserve">position paper no.9, </w:t>
      </w:r>
      <w:r w:rsidRPr="00D11809">
        <w:rPr>
          <w:rStyle w:val="Emphasis"/>
          <w:i w:val="0"/>
          <w:color w:val="000000"/>
          <w:szCs w:val="18"/>
        </w:rPr>
        <w:t>2014,</w:t>
      </w:r>
      <w:r w:rsidRPr="0035771E">
        <w:rPr>
          <w:rStyle w:val="Emphasis"/>
          <w:color w:val="000000"/>
          <w:szCs w:val="18"/>
        </w:rPr>
        <w:t xml:space="preserve"> </w:t>
      </w:r>
      <w:r w:rsidR="00431F62">
        <w:rPr>
          <w:rStyle w:val="Emphasis"/>
          <w:i w:val="0"/>
          <w:color w:val="000000"/>
          <w:szCs w:val="18"/>
        </w:rPr>
        <w:t xml:space="preserve">and </w:t>
      </w:r>
      <w:r w:rsidRPr="00D11809">
        <w:rPr>
          <w:szCs w:val="18"/>
        </w:rPr>
        <w:t xml:space="preserve">Inter-American Court of Human Rights, Atala Riffo </w:t>
      </w:r>
      <w:r w:rsidR="00431F62">
        <w:rPr>
          <w:szCs w:val="18"/>
        </w:rPr>
        <w:t>and daughters</w:t>
      </w:r>
      <w:r w:rsidRPr="0035771E">
        <w:rPr>
          <w:szCs w:val="18"/>
        </w:rPr>
        <w:t xml:space="preserve"> v. Chile, 24 February 2012</w:t>
      </w:r>
      <w:r w:rsidRPr="0035771E">
        <w:rPr>
          <w:rStyle w:val="Emphasis"/>
          <w:color w:val="000000"/>
          <w:szCs w:val="18"/>
        </w:rPr>
        <w:t>.</w:t>
      </w:r>
    </w:p>
  </w:footnote>
  <w:footnote w:id="124">
    <w:p w:rsidR="000673F5" w:rsidRPr="0035771E" w:rsidRDefault="000673F5" w:rsidP="00023DDC">
      <w:pPr>
        <w:pStyle w:val="FootnoteText"/>
        <w:spacing w:line="240" w:lineRule="atLeast"/>
        <w:rPr>
          <w:szCs w:val="18"/>
        </w:rPr>
      </w:pPr>
      <w:r w:rsidRPr="0035771E">
        <w:rPr>
          <w:szCs w:val="18"/>
        </w:rPr>
        <w:tab/>
      </w:r>
      <w:r w:rsidRPr="00D11809">
        <w:rPr>
          <w:rStyle w:val="FootnoteReference"/>
          <w:szCs w:val="18"/>
        </w:rPr>
        <w:footnoteRef/>
      </w:r>
      <w:r w:rsidRPr="0035771E">
        <w:rPr>
          <w:szCs w:val="18"/>
        </w:rPr>
        <w:tab/>
      </w:r>
      <w:r w:rsidR="00800A3B">
        <w:rPr>
          <w:szCs w:val="18"/>
        </w:rPr>
        <w:t xml:space="preserve">See </w:t>
      </w:r>
      <w:r w:rsidRPr="0035771E">
        <w:rPr>
          <w:szCs w:val="18"/>
        </w:rPr>
        <w:t>CCPR/C/IRL/CO/4, para. 7</w:t>
      </w:r>
      <w:r w:rsidR="00800A3B">
        <w:rPr>
          <w:szCs w:val="18"/>
        </w:rPr>
        <w:t>,</w:t>
      </w:r>
      <w:r w:rsidRPr="0035771E">
        <w:rPr>
          <w:szCs w:val="18"/>
        </w:rPr>
        <w:t xml:space="preserve"> CCPR/C/UKR/CO/7, para. </w:t>
      </w:r>
      <w:r w:rsidRPr="00D11809">
        <w:rPr>
          <w:szCs w:val="18"/>
        </w:rPr>
        <w:t>10</w:t>
      </w:r>
      <w:r w:rsidR="00F12D56">
        <w:rPr>
          <w:szCs w:val="18"/>
        </w:rPr>
        <w:t>,</w:t>
      </w:r>
      <w:r w:rsidRPr="00D11809">
        <w:rPr>
          <w:szCs w:val="18"/>
        </w:rPr>
        <w:t xml:space="preserve"> A/HRC/22/53, para. 88; </w:t>
      </w:r>
      <w:r w:rsidR="00800A3B">
        <w:rPr>
          <w:szCs w:val="18"/>
        </w:rPr>
        <w:t xml:space="preserve">also </w:t>
      </w:r>
      <w:r w:rsidRPr="0035771E">
        <w:rPr>
          <w:szCs w:val="18"/>
        </w:rPr>
        <w:t xml:space="preserve">“Eliminating </w:t>
      </w:r>
      <w:r w:rsidR="00431F62">
        <w:rPr>
          <w:szCs w:val="18"/>
        </w:rPr>
        <w:t>f</w:t>
      </w:r>
      <w:r w:rsidRPr="0035771E">
        <w:rPr>
          <w:szCs w:val="18"/>
        </w:rPr>
        <w:t xml:space="preserve">orced, </w:t>
      </w:r>
      <w:r w:rsidR="00431F62">
        <w:rPr>
          <w:szCs w:val="18"/>
        </w:rPr>
        <w:t>c</w:t>
      </w:r>
      <w:r w:rsidRPr="0035771E">
        <w:rPr>
          <w:szCs w:val="18"/>
        </w:rPr>
        <w:t xml:space="preserve">oercive and </w:t>
      </w:r>
      <w:r w:rsidR="00431F62">
        <w:rPr>
          <w:szCs w:val="18"/>
        </w:rPr>
        <w:t>o</w:t>
      </w:r>
      <w:r w:rsidRPr="0035771E">
        <w:rPr>
          <w:szCs w:val="18"/>
        </w:rPr>
        <w:t xml:space="preserve">therwise </w:t>
      </w:r>
      <w:r w:rsidR="00431F62">
        <w:rPr>
          <w:szCs w:val="18"/>
        </w:rPr>
        <w:t>i</w:t>
      </w:r>
      <w:r w:rsidRPr="0035771E">
        <w:rPr>
          <w:szCs w:val="18"/>
        </w:rPr>
        <w:t xml:space="preserve">nvoluntary </w:t>
      </w:r>
      <w:r w:rsidR="00431F62">
        <w:rPr>
          <w:szCs w:val="18"/>
        </w:rPr>
        <w:t>s</w:t>
      </w:r>
      <w:r w:rsidRPr="0035771E">
        <w:rPr>
          <w:szCs w:val="18"/>
        </w:rPr>
        <w:t>terilization</w:t>
      </w:r>
      <w:r w:rsidR="00431F62">
        <w:rPr>
          <w:szCs w:val="18"/>
        </w:rPr>
        <w:t>: an interagency statement</w:t>
      </w:r>
      <w:r w:rsidRPr="00D11809">
        <w:rPr>
          <w:szCs w:val="18"/>
        </w:rPr>
        <w:t>”, OHCHR, UN</w:t>
      </w:r>
      <w:r w:rsidRPr="0035771E">
        <w:rPr>
          <w:szCs w:val="18"/>
        </w:rPr>
        <w:t>-Women, UNAIDS, UNDP, UNFPA, UNICEF and WHO,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F5" w:rsidRPr="004B7CB6" w:rsidRDefault="000673F5" w:rsidP="00E759E1">
    <w:pPr>
      <w:pStyle w:val="Header"/>
      <w:tabs>
        <w:tab w:val="left" w:pos="1657"/>
      </w:tabs>
    </w:pPr>
    <w:r>
      <w:t>A/HRC/29/23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F5" w:rsidRPr="004B7CB6" w:rsidRDefault="000673F5" w:rsidP="00E759E1">
    <w:pPr>
      <w:pStyle w:val="Header"/>
      <w:jc w:val="right"/>
    </w:pPr>
    <w:r>
      <w:t>A/HRC/29/23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1">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4">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olor w:val="auto"/>
      </w:r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7">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741678"/>
    <w:multiLevelType w:val="hybridMultilevel"/>
    <w:tmpl w:val="B5EA410C"/>
    <w:lvl w:ilvl="0" w:tplc="5CC67E3E">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9">
    <w:nsid w:val="24F75753"/>
    <w:multiLevelType w:val="hybridMultilevel"/>
    <w:tmpl w:val="99A61656"/>
    <w:lvl w:ilvl="0" w:tplc="DC66E7F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2"/>
  </w:num>
  <w:num w:numId="3">
    <w:abstractNumId w:val="11"/>
  </w:num>
  <w:num w:numId="4">
    <w:abstractNumId w:val="13"/>
  </w:num>
  <w:num w:numId="5">
    <w:abstractNumId w:val="10"/>
  </w:num>
  <w:num w:numId="6">
    <w:abstractNumId w:val="8"/>
  </w:num>
  <w:num w:numId="7">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rsids>
    <w:rsidRoot w:val="004B7CB6"/>
    <w:rsid w:val="00010323"/>
    <w:rsid w:val="00023DDC"/>
    <w:rsid w:val="000304B5"/>
    <w:rsid w:val="0004666B"/>
    <w:rsid w:val="00046F3C"/>
    <w:rsid w:val="00047092"/>
    <w:rsid w:val="00064E78"/>
    <w:rsid w:val="000673F5"/>
    <w:rsid w:val="00071544"/>
    <w:rsid w:val="00073F55"/>
    <w:rsid w:val="00085D30"/>
    <w:rsid w:val="00095E82"/>
    <w:rsid w:val="000974AA"/>
    <w:rsid w:val="000E4BFD"/>
    <w:rsid w:val="000E5A2A"/>
    <w:rsid w:val="00100286"/>
    <w:rsid w:val="00111BC3"/>
    <w:rsid w:val="0013382A"/>
    <w:rsid w:val="00163C0A"/>
    <w:rsid w:val="00163F6E"/>
    <w:rsid w:val="00173691"/>
    <w:rsid w:val="001748BF"/>
    <w:rsid w:val="00182AA6"/>
    <w:rsid w:val="00192722"/>
    <w:rsid w:val="00194214"/>
    <w:rsid w:val="001C10E2"/>
    <w:rsid w:val="001C73D1"/>
    <w:rsid w:val="001D2AE9"/>
    <w:rsid w:val="001E4EEA"/>
    <w:rsid w:val="00204D0A"/>
    <w:rsid w:val="00217544"/>
    <w:rsid w:val="00222110"/>
    <w:rsid w:val="00230782"/>
    <w:rsid w:val="00260E2E"/>
    <w:rsid w:val="0026160F"/>
    <w:rsid w:val="002A28D5"/>
    <w:rsid w:val="002E1AC4"/>
    <w:rsid w:val="002F4B1D"/>
    <w:rsid w:val="002F4C99"/>
    <w:rsid w:val="00307F30"/>
    <w:rsid w:val="003416E2"/>
    <w:rsid w:val="00341B9B"/>
    <w:rsid w:val="00354178"/>
    <w:rsid w:val="0035771E"/>
    <w:rsid w:val="00371689"/>
    <w:rsid w:val="00371AD0"/>
    <w:rsid w:val="003A3785"/>
    <w:rsid w:val="003C7D28"/>
    <w:rsid w:val="003D27B6"/>
    <w:rsid w:val="003D40B0"/>
    <w:rsid w:val="003F764C"/>
    <w:rsid w:val="004036D2"/>
    <w:rsid w:val="004066E4"/>
    <w:rsid w:val="00414724"/>
    <w:rsid w:val="00415C9A"/>
    <w:rsid w:val="004215A5"/>
    <w:rsid w:val="00431F62"/>
    <w:rsid w:val="0043541D"/>
    <w:rsid w:val="00442D02"/>
    <w:rsid w:val="004442A9"/>
    <w:rsid w:val="00447343"/>
    <w:rsid w:val="00447761"/>
    <w:rsid w:val="00456286"/>
    <w:rsid w:val="004664A3"/>
    <w:rsid w:val="00470CAA"/>
    <w:rsid w:val="004821DE"/>
    <w:rsid w:val="00491109"/>
    <w:rsid w:val="004A555F"/>
    <w:rsid w:val="004B7CB6"/>
    <w:rsid w:val="004C1635"/>
    <w:rsid w:val="004C3D89"/>
    <w:rsid w:val="004C5D31"/>
    <w:rsid w:val="004D3BE1"/>
    <w:rsid w:val="004D3D55"/>
    <w:rsid w:val="004F1F15"/>
    <w:rsid w:val="004F6196"/>
    <w:rsid w:val="005175FF"/>
    <w:rsid w:val="00521352"/>
    <w:rsid w:val="00521EB0"/>
    <w:rsid w:val="00547B89"/>
    <w:rsid w:val="0055543B"/>
    <w:rsid w:val="00575D32"/>
    <w:rsid w:val="005835BF"/>
    <w:rsid w:val="00595E44"/>
    <w:rsid w:val="005964B7"/>
    <w:rsid w:val="005C4C1C"/>
    <w:rsid w:val="005F2CD2"/>
    <w:rsid w:val="005F6BF3"/>
    <w:rsid w:val="00603002"/>
    <w:rsid w:val="00603AAC"/>
    <w:rsid w:val="00627DA8"/>
    <w:rsid w:val="00636DCA"/>
    <w:rsid w:val="00640C28"/>
    <w:rsid w:val="006649F9"/>
    <w:rsid w:val="006829C8"/>
    <w:rsid w:val="006940AF"/>
    <w:rsid w:val="006A70DD"/>
    <w:rsid w:val="006B353F"/>
    <w:rsid w:val="006B6D99"/>
    <w:rsid w:val="006E6751"/>
    <w:rsid w:val="006F1CD4"/>
    <w:rsid w:val="006F5BE5"/>
    <w:rsid w:val="006F7C4D"/>
    <w:rsid w:val="007159F8"/>
    <w:rsid w:val="00720C4B"/>
    <w:rsid w:val="00721725"/>
    <w:rsid w:val="00733634"/>
    <w:rsid w:val="00734F84"/>
    <w:rsid w:val="00750C2D"/>
    <w:rsid w:val="00752AEB"/>
    <w:rsid w:val="0076196B"/>
    <w:rsid w:val="00763365"/>
    <w:rsid w:val="00764F7F"/>
    <w:rsid w:val="007656EF"/>
    <w:rsid w:val="00766EFF"/>
    <w:rsid w:val="00792169"/>
    <w:rsid w:val="007B29E8"/>
    <w:rsid w:val="007D0CBD"/>
    <w:rsid w:val="007E1E3C"/>
    <w:rsid w:val="007E4665"/>
    <w:rsid w:val="007F489C"/>
    <w:rsid w:val="00800A3B"/>
    <w:rsid w:val="008074FA"/>
    <w:rsid w:val="008307EE"/>
    <w:rsid w:val="00837198"/>
    <w:rsid w:val="00871C65"/>
    <w:rsid w:val="00880606"/>
    <w:rsid w:val="00883511"/>
    <w:rsid w:val="00883BFA"/>
    <w:rsid w:val="00884C01"/>
    <w:rsid w:val="008947DA"/>
    <w:rsid w:val="00894B47"/>
    <w:rsid w:val="008E3360"/>
    <w:rsid w:val="008E711C"/>
    <w:rsid w:val="009139C3"/>
    <w:rsid w:val="00924747"/>
    <w:rsid w:val="00925E63"/>
    <w:rsid w:val="00926DA5"/>
    <w:rsid w:val="009A387F"/>
    <w:rsid w:val="009B342A"/>
    <w:rsid w:val="009D1527"/>
    <w:rsid w:val="009E31AF"/>
    <w:rsid w:val="009F6C12"/>
    <w:rsid w:val="00A009D8"/>
    <w:rsid w:val="00A05848"/>
    <w:rsid w:val="00A15580"/>
    <w:rsid w:val="00A20FE2"/>
    <w:rsid w:val="00A27845"/>
    <w:rsid w:val="00A27FA3"/>
    <w:rsid w:val="00A5090F"/>
    <w:rsid w:val="00A52225"/>
    <w:rsid w:val="00A70DA9"/>
    <w:rsid w:val="00A81E6A"/>
    <w:rsid w:val="00A92F8F"/>
    <w:rsid w:val="00A9644E"/>
    <w:rsid w:val="00A97ADD"/>
    <w:rsid w:val="00AA2FA2"/>
    <w:rsid w:val="00AB634A"/>
    <w:rsid w:val="00AC0DBB"/>
    <w:rsid w:val="00AC11CD"/>
    <w:rsid w:val="00B01297"/>
    <w:rsid w:val="00B241E4"/>
    <w:rsid w:val="00B30660"/>
    <w:rsid w:val="00B33BB6"/>
    <w:rsid w:val="00B411FC"/>
    <w:rsid w:val="00B435EB"/>
    <w:rsid w:val="00B468A9"/>
    <w:rsid w:val="00B50BB2"/>
    <w:rsid w:val="00B51A98"/>
    <w:rsid w:val="00B63281"/>
    <w:rsid w:val="00B649D4"/>
    <w:rsid w:val="00B714BC"/>
    <w:rsid w:val="00B8574D"/>
    <w:rsid w:val="00B90CCB"/>
    <w:rsid w:val="00B90CF5"/>
    <w:rsid w:val="00BA15C5"/>
    <w:rsid w:val="00BE6FAA"/>
    <w:rsid w:val="00C036B2"/>
    <w:rsid w:val="00C32AAC"/>
    <w:rsid w:val="00C503C4"/>
    <w:rsid w:val="00C65496"/>
    <w:rsid w:val="00C70D9F"/>
    <w:rsid w:val="00C80896"/>
    <w:rsid w:val="00CA3E6C"/>
    <w:rsid w:val="00CA69D2"/>
    <w:rsid w:val="00CD7537"/>
    <w:rsid w:val="00CE0FC0"/>
    <w:rsid w:val="00D11809"/>
    <w:rsid w:val="00D20C79"/>
    <w:rsid w:val="00D240A6"/>
    <w:rsid w:val="00D27F9A"/>
    <w:rsid w:val="00D316C4"/>
    <w:rsid w:val="00D423DC"/>
    <w:rsid w:val="00D43EEE"/>
    <w:rsid w:val="00D65670"/>
    <w:rsid w:val="00D74C84"/>
    <w:rsid w:val="00D92FE3"/>
    <w:rsid w:val="00DA1F39"/>
    <w:rsid w:val="00DB49ED"/>
    <w:rsid w:val="00DB7CCD"/>
    <w:rsid w:val="00DC3C47"/>
    <w:rsid w:val="00DC762C"/>
    <w:rsid w:val="00DD068F"/>
    <w:rsid w:val="00DD4996"/>
    <w:rsid w:val="00DE37AF"/>
    <w:rsid w:val="00DF65BA"/>
    <w:rsid w:val="00E009FB"/>
    <w:rsid w:val="00E04FE4"/>
    <w:rsid w:val="00E057A6"/>
    <w:rsid w:val="00E20575"/>
    <w:rsid w:val="00E31F45"/>
    <w:rsid w:val="00E365B0"/>
    <w:rsid w:val="00E759E1"/>
    <w:rsid w:val="00E871A5"/>
    <w:rsid w:val="00EA68DF"/>
    <w:rsid w:val="00EB3311"/>
    <w:rsid w:val="00EB3529"/>
    <w:rsid w:val="00EC5205"/>
    <w:rsid w:val="00ED5D26"/>
    <w:rsid w:val="00ED6DC9"/>
    <w:rsid w:val="00ED6E74"/>
    <w:rsid w:val="00EE352E"/>
    <w:rsid w:val="00EF5BBC"/>
    <w:rsid w:val="00F02223"/>
    <w:rsid w:val="00F02549"/>
    <w:rsid w:val="00F10D1F"/>
    <w:rsid w:val="00F12D56"/>
    <w:rsid w:val="00F13E18"/>
    <w:rsid w:val="00F1490C"/>
    <w:rsid w:val="00F22DAD"/>
    <w:rsid w:val="00F23747"/>
    <w:rsid w:val="00F27E85"/>
    <w:rsid w:val="00F53409"/>
    <w:rsid w:val="00F54052"/>
    <w:rsid w:val="00F76F7E"/>
    <w:rsid w:val="00FB4FCC"/>
    <w:rsid w:val="00FC527F"/>
    <w:rsid w:val="00FD3B2F"/>
    <w:rsid w:val="00FD7D38"/>
    <w:rsid w:val="00FE17D9"/>
    <w:rsid w:val="00FE34A8"/>
    <w:rsid w:val="00FF5FB9"/>
    <w:rsid w:val="00FF6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link w:val="Heading1Char"/>
    <w:qFormat/>
    <w:rsid w:val="00CF0214"/>
    <w:pPr>
      <w:numPr>
        <w:numId w:val="3"/>
      </w:numPr>
      <w:spacing w:after="0" w:line="240" w:lineRule="auto"/>
      <w:ind w:right="0"/>
      <w:jc w:val="left"/>
      <w:outlineLvl w:val="0"/>
    </w:pPr>
    <w:rPr>
      <w:lang/>
    </w:rPr>
  </w:style>
  <w:style w:type="paragraph" w:styleId="Heading2">
    <w:name w:val="heading 2"/>
    <w:basedOn w:val="Normal"/>
    <w:next w:val="Normal"/>
    <w:link w:val="Heading2Char"/>
    <w:uiPriority w:val="9"/>
    <w:qFormat/>
    <w:rsid w:val="00CF0214"/>
    <w:pPr>
      <w:numPr>
        <w:ilvl w:val="1"/>
        <w:numId w:val="3"/>
      </w:numPr>
      <w:spacing w:line="240" w:lineRule="auto"/>
      <w:outlineLvl w:val="1"/>
    </w:pPr>
    <w:rPr>
      <w:lang/>
    </w:rPr>
  </w:style>
  <w:style w:type="paragraph" w:styleId="Heading3">
    <w:name w:val="heading 3"/>
    <w:basedOn w:val="Normal"/>
    <w:next w:val="Normal"/>
    <w:link w:val="Heading3Char"/>
    <w:qFormat/>
    <w:rsid w:val="00CF0214"/>
    <w:pPr>
      <w:numPr>
        <w:ilvl w:val="2"/>
        <w:numId w:val="3"/>
      </w:numPr>
      <w:spacing w:line="240" w:lineRule="auto"/>
      <w:outlineLvl w:val="2"/>
    </w:pPr>
    <w:rPr>
      <w:lang/>
    </w:rPr>
  </w:style>
  <w:style w:type="paragraph" w:styleId="Heading4">
    <w:name w:val="heading 4"/>
    <w:basedOn w:val="Normal"/>
    <w:next w:val="Normal"/>
    <w:link w:val="Heading4Char"/>
    <w:qFormat/>
    <w:rsid w:val="00CF0214"/>
    <w:pPr>
      <w:numPr>
        <w:ilvl w:val="3"/>
        <w:numId w:val="3"/>
      </w:numPr>
      <w:spacing w:line="240" w:lineRule="auto"/>
      <w:outlineLvl w:val="3"/>
    </w:pPr>
    <w:rPr>
      <w:lang/>
    </w:rPr>
  </w:style>
  <w:style w:type="paragraph" w:styleId="Heading5">
    <w:name w:val="heading 5"/>
    <w:basedOn w:val="Normal"/>
    <w:next w:val="Normal"/>
    <w:link w:val="Heading5Char"/>
    <w:qFormat/>
    <w:rsid w:val="00CF0214"/>
    <w:pPr>
      <w:numPr>
        <w:ilvl w:val="4"/>
        <w:numId w:val="3"/>
      </w:numPr>
      <w:spacing w:line="240" w:lineRule="auto"/>
      <w:outlineLvl w:val="4"/>
    </w:pPr>
    <w:rPr>
      <w:lang/>
    </w:rPr>
  </w:style>
  <w:style w:type="paragraph" w:styleId="Heading6">
    <w:name w:val="heading 6"/>
    <w:basedOn w:val="Normal"/>
    <w:next w:val="Normal"/>
    <w:link w:val="Heading6Char"/>
    <w:qFormat/>
    <w:rsid w:val="00CF0214"/>
    <w:pPr>
      <w:numPr>
        <w:ilvl w:val="5"/>
        <w:numId w:val="3"/>
      </w:numPr>
      <w:spacing w:line="240" w:lineRule="auto"/>
      <w:outlineLvl w:val="5"/>
    </w:pPr>
    <w:rPr>
      <w:lang/>
    </w:rPr>
  </w:style>
  <w:style w:type="paragraph" w:styleId="Heading7">
    <w:name w:val="heading 7"/>
    <w:basedOn w:val="Normal"/>
    <w:next w:val="Normal"/>
    <w:link w:val="Heading7Char"/>
    <w:qFormat/>
    <w:rsid w:val="00CF0214"/>
    <w:pPr>
      <w:numPr>
        <w:ilvl w:val="6"/>
        <w:numId w:val="3"/>
      </w:numPr>
      <w:spacing w:line="240" w:lineRule="auto"/>
      <w:outlineLvl w:val="6"/>
    </w:pPr>
    <w:rPr>
      <w:lang/>
    </w:rPr>
  </w:style>
  <w:style w:type="paragraph" w:styleId="Heading8">
    <w:name w:val="heading 8"/>
    <w:basedOn w:val="Normal"/>
    <w:next w:val="Normal"/>
    <w:link w:val="Heading8Char"/>
    <w:qFormat/>
    <w:rsid w:val="00CF0214"/>
    <w:pPr>
      <w:numPr>
        <w:ilvl w:val="7"/>
        <w:numId w:val="3"/>
      </w:numPr>
      <w:spacing w:line="240" w:lineRule="auto"/>
      <w:outlineLvl w:val="7"/>
    </w:pPr>
    <w:rPr>
      <w:lang/>
    </w:rPr>
  </w:style>
  <w:style w:type="paragraph" w:styleId="Heading9">
    <w:name w:val="heading 9"/>
    <w:basedOn w:val="Normal"/>
    <w:next w:val="Normal"/>
    <w:link w:val="Heading9Char"/>
    <w:qFormat/>
    <w:rsid w:val="00CF0214"/>
    <w:pPr>
      <w:numPr>
        <w:ilvl w:val="8"/>
        <w:numId w:val="3"/>
      </w:numPr>
      <w:spacing w:line="240" w:lineRule="auto"/>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link w:val="4GCharCharCharChar"/>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qFormat/>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rPr>
      <w:lang/>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uiPriority w:val="22"/>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link w:val="BalloonTextChar"/>
    <w:uiPriority w:val="99"/>
    <w:rsid w:val="00430727"/>
    <w:rPr>
      <w:rFonts w:ascii="Tahoma" w:hAnsi="Tahoma"/>
      <w:sz w:val="16"/>
      <w:szCs w:val="16"/>
      <w:lang/>
    </w:rPr>
  </w:style>
  <w:style w:type="character" w:styleId="CommentReference">
    <w:name w:val="annotation reference"/>
    <w:uiPriority w:val="99"/>
    <w:rsid w:val="004A5C63"/>
    <w:rPr>
      <w:sz w:val="16"/>
      <w:szCs w:val="16"/>
    </w:rPr>
  </w:style>
  <w:style w:type="paragraph" w:styleId="CommentText">
    <w:name w:val="annotation text"/>
    <w:basedOn w:val="Normal"/>
    <w:link w:val="CommentTextChar"/>
    <w:uiPriority w:val="99"/>
    <w:rsid w:val="004A5C63"/>
    <w:rPr>
      <w:lang/>
    </w:rPr>
  </w:style>
  <w:style w:type="paragraph" w:styleId="CommentSubject">
    <w:name w:val="annotation subject"/>
    <w:basedOn w:val="CommentText"/>
    <w:next w:val="CommentText"/>
    <w:link w:val="CommentSubjectChar"/>
    <w:uiPriority w:val="99"/>
    <w:semiHidden/>
    <w:rsid w:val="004A5C63"/>
    <w:rPr>
      <w:b/>
      <w:bCs/>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
    <w:link w:val="FootnoteText"/>
    <w:locked/>
    <w:rsid w:val="00795C52"/>
    <w:rPr>
      <w:sz w:val="18"/>
      <w:lang w:val="en-GB" w:eastAsia="en-US" w:bidi="ar-SA"/>
    </w:rPr>
  </w:style>
  <w:style w:type="character" w:customStyle="1" w:styleId="HChGChar">
    <w:name w:val="_ H _Ch_G Char"/>
    <w:link w:val="HChG"/>
    <w:rsid w:val="00A0541C"/>
    <w:rPr>
      <w:b/>
      <w:sz w:val="28"/>
      <w:lang w:val="en-GB" w:eastAsia="en-US" w:bidi="ar-SA"/>
    </w:rPr>
  </w:style>
  <w:style w:type="character" w:customStyle="1" w:styleId="H23GChar">
    <w:name w:val="_ H_2/3_G Char"/>
    <w:link w:val="H23G"/>
    <w:rsid w:val="000D50D1"/>
    <w:rPr>
      <w:b/>
      <w:lang w:val="en-GB" w:eastAsia="en-US" w:bidi="ar-SA"/>
    </w:rPr>
  </w:style>
  <w:style w:type="character" w:customStyle="1" w:styleId="H56GChar">
    <w:name w:val="_ H_5/6_G Char"/>
    <w:link w:val="H56G"/>
    <w:rsid w:val="0000003D"/>
    <w:rPr>
      <w:lang w:val="en-GB" w:eastAsia="en-US" w:bidi="ar-SA"/>
    </w:rPr>
  </w:style>
  <w:style w:type="character" w:customStyle="1" w:styleId="SingleTxtGChar">
    <w:name w:val="_ Single Txt_G Char"/>
    <w:link w:val="SingleTxtG"/>
    <w:rsid w:val="0000003D"/>
    <w:rPr>
      <w:lang w:val="en-GB" w:eastAsia="en-US" w:bidi="ar-SA"/>
    </w:rPr>
  </w:style>
  <w:style w:type="character" w:customStyle="1" w:styleId="apple-style-span">
    <w:name w:val="apple-style-span"/>
    <w:rsid w:val="00244BE5"/>
    <w:rPr>
      <w:rFonts w:cs="Times New Roman"/>
    </w:rPr>
  </w:style>
  <w:style w:type="character" w:customStyle="1" w:styleId="ss">
    <w:name w:val="ss"/>
    <w:rsid w:val="00967AC6"/>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754838"/>
    <w:rPr>
      <w:lang w:eastAsia="en-US"/>
    </w:rPr>
  </w:style>
  <w:style w:type="paragraph" w:customStyle="1" w:styleId="ColorfulList-Accent11">
    <w:name w:val="Colorful List - Accent 11"/>
    <w:aliases w:val="F5 List Paragraph,List Paragraph1,Dot pt,No Spacing1,List Paragraph Char Char Char,Indicator Text,Numbered Para 1,Bullet Points,MAIN CONTENT,List Paragraph11,OBC Bullet,Bullet List,FooterText,Bullet,L"/>
    <w:basedOn w:val="Normal"/>
    <w:link w:val="ColorfulList-Accent1Char"/>
    <w:uiPriority w:val="34"/>
    <w:qFormat/>
    <w:rsid w:val="00754838"/>
    <w:pPr>
      <w:suppressAutoHyphens w:val="0"/>
      <w:spacing w:after="200" w:line="276" w:lineRule="auto"/>
      <w:ind w:left="720"/>
    </w:pPr>
    <w:rPr>
      <w:rFonts w:ascii="Calibri" w:eastAsia="Calibri" w:hAnsi="Calibri"/>
      <w:sz w:val="22"/>
      <w:szCs w:val="22"/>
      <w:lang/>
    </w:rPr>
  </w:style>
  <w:style w:type="character" w:customStyle="1" w:styleId="DefaultChar">
    <w:name w:val="Default Char"/>
    <w:link w:val="Default"/>
    <w:locked/>
    <w:rsid w:val="00754838"/>
    <w:rPr>
      <w:color w:val="000000"/>
      <w:sz w:val="24"/>
      <w:szCs w:val="24"/>
      <w:lang w:val="en-AU" w:eastAsia="en-AU" w:bidi="ar-SA"/>
    </w:rPr>
  </w:style>
  <w:style w:type="paragraph" w:customStyle="1" w:styleId="Default">
    <w:name w:val="Default"/>
    <w:link w:val="DefaultChar"/>
    <w:rsid w:val="00754838"/>
    <w:pPr>
      <w:autoSpaceDE w:val="0"/>
      <w:autoSpaceDN w:val="0"/>
      <w:adjustRightInd w:val="0"/>
    </w:pPr>
    <w:rPr>
      <w:color w:val="000000"/>
      <w:sz w:val="24"/>
      <w:szCs w:val="24"/>
      <w:lang w:val="en-AU" w:eastAsia="en-AU"/>
    </w:rPr>
  </w:style>
  <w:style w:type="character" w:styleId="Emphasis">
    <w:name w:val="Emphasis"/>
    <w:uiPriority w:val="20"/>
    <w:qFormat/>
    <w:rsid w:val="00560CED"/>
    <w:rPr>
      <w:i/>
      <w:iCs/>
    </w:rPr>
  </w:style>
  <w:style w:type="numbering" w:customStyle="1" w:styleId="NoList1">
    <w:name w:val="No List1"/>
    <w:next w:val="NoList"/>
    <w:uiPriority w:val="99"/>
    <w:semiHidden/>
    <w:unhideWhenUsed/>
    <w:rsid w:val="00B665F5"/>
  </w:style>
  <w:style w:type="character" w:customStyle="1" w:styleId="Heading1Char">
    <w:name w:val="Heading 1 Char"/>
    <w:aliases w:val="Table_G Char"/>
    <w:link w:val="Heading1"/>
    <w:rsid w:val="00B665F5"/>
    <w:rPr>
      <w:lang w:eastAsia="en-US"/>
    </w:rPr>
  </w:style>
  <w:style w:type="character" w:customStyle="1" w:styleId="CommentTextChar">
    <w:name w:val="Comment Text Char"/>
    <w:link w:val="CommentText"/>
    <w:uiPriority w:val="99"/>
    <w:rsid w:val="00B665F5"/>
    <w:rPr>
      <w:lang w:eastAsia="en-US"/>
    </w:rPr>
  </w:style>
  <w:style w:type="character" w:customStyle="1" w:styleId="CommentSubjectChar">
    <w:name w:val="Comment Subject Char"/>
    <w:link w:val="CommentSubject"/>
    <w:uiPriority w:val="99"/>
    <w:semiHidden/>
    <w:rsid w:val="00B665F5"/>
    <w:rPr>
      <w:b/>
      <w:bCs/>
      <w:lang w:eastAsia="en-US"/>
    </w:rPr>
  </w:style>
  <w:style w:type="character" w:customStyle="1" w:styleId="BalloonTextChar">
    <w:name w:val="Balloon Text Char"/>
    <w:link w:val="BalloonText"/>
    <w:uiPriority w:val="99"/>
    <w:rsid w:val="00B665F5"/>
    <w:rPr>
      <w:rFonts w:ascii="Tahoma" w:hAnsi="Tahoma" w:cs="Tahoma"/>
      <w:sz w:val="16"/>
      <w:szCs w:val="16"/>
      <w:lang w:eastAsia="en-US"/>
    </w:rPr>
  </w:style>
  <w:style w:type="character" w:customStyle="1" w:styleId="HeaderChar">
    <w:name w:val="Header Char"/>
    <w:aliases w:val="6_G Char"/>
    <w:link w:val="Header"/>
    <w:rsid w:val="00B665F5"/>
    <w:rPr>
      <w:b/>
      <w:sz w:val="18"/>
      <w:lang w:eastAsia="en-US"/>
    </w:rPr>
  </w:style>
  <w:style w:type="character" w:customStyle="1" w:styleId="FooterChar">
    <w:name w:val="Footer Char"/>
    <w:aliases w:val="3_G Char"/>
    <w:link w:val="Footer"/>
    <w:uiPriority w:val="99"/>
    <w:rsid w:val="00B665F5"/>
    <w:rPr>
      <w:sz w:val="16"/>
      <w:lang w:eastAsia="en-US"/>
    </w:rPr>
  </w:style>
  <w:style w:type="character" w:customStyle="1" w:styleId="contenttext1">
    <w:name w:val="contenttext1"/>
    <w:uiPriority w:val="99"/>
    <w:rsid w:val="00B665F5"/>
    <w:rPr>
      <w:rFonts w:ascii="Arial" w:hAnsi="Arial" w:cs="Arial" w:hint="default"/>
      <w:sz w:val="24"/>
      <w:szCs w:val="24"/>
    </w:rPr>
  </w:style>
  <w:style w:type="paragraph" w:customStyle="1" w:styleId="ColorfulShading-Accent11">
    <w:name w:val="Colorful Shading - Accent 11"/>
    <w:hidden/>
    <w:uiPriority w:val="99"/>
    <w:rsid w:val="00B665F5"/>
    <w:rPr>
      <w:rFonts w:ascii="Calibri" w:eastAsia="Calibri" w:hAnsi="Calibri"/>
      <w:sz w:val="22"/>
      <w:szCs w:val="22"/>
      <w:lang w:val="en-GB"/>
    </w:rPr>
  </w:style>
  <w:style w:type="paragraph" w:customStyle="1" w:styleId="H23">
    <w:name w:val="_ H_2/3"/>
    <w:basedOn w:val="Normal"/>
    <w:next w:val="Normal"/>
    <w:uiPriority w:val="99"/>
    <w:rsid w:val="00B665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b/>
      <w:spacing w:val="2"/>
      <w:w w:val="103"/>
      <w:kern w:val="14"/>
    </w:rPr>
  </w:style>
  <w:style w:type="paragraph" w:styleId="HTMLPreformatted">
    <w:name w:val="HTML Preformatted"/>
    <w:basedOn w:val="Normal"/>
    <w:link w:val="HTMLPreformattedChar"/>
    <w:uiPriority w:val="99"/>
    <w:unhideWhenUsed/>
    <w:rsid w:val="004B65FA"/>
    <w:pPr>
      <w:suppressAutoHyphens w:val="0"/>
      <w:spacing w:after="200" w:line="276" w:lineRule="auto"/>
    </w:pPr>
    <w:rPr>
      <w:rFonts w:ascii="Courier New" w:eastAsia="Calibri" w:hAnsi="Courier New"/>
      <w:lang/>
    </w:rPr>
  </w:style>
  <w:style w:type="character" w:customStyle="1" w:styleId="HTMLPreformattedChar">
    <w:name w:val="HTML Preformatted Char"/>
    <w:link w:val="HTMLPreformatted"/>
    <w:uiPriority w:val="99"/>
    <w:rsid w:val="004B65FA"/>
    <w:rPr>
      <w:rFonts w:ascii="Courier New" w:eastAsia="Calibri" w:hAnsi="Courier New" w:cs="Courier New"/>
      <w:lang w:eastAsia="en-US"/>
    </w:rPr>
  </w:style>
  <w:style w:type="character" w:customStyle="1" w:styleId="lblnewsfulltext">
    <w:name w:val="lblnewsfulltext"/>
    <w:rsid w:val="004B65FA"/>
  </w:style>
  <w:style w:type="numbering" w:customStyle="1" w:styleId="NoList2">
    <w:name w:val="No List2"/>
    <w:next w:val="NoList"/>
    <w:uiPriority w:val="99"/>
    <w:semiHidden/>
    <w:unhideWhenUsed/>
    <w:rsid w:val="00936F32"/>
  </w:style>
  <w:style w:type="character" w:customStyle="1" w:styleId="FootnoteCharacters">
    <w:name w:val="Footnote Characters"/>
    <w:uiPriority w:val="99"/>
    <w:rsid w:val="00936F32"/>
    <w:rPr>
      <w:rFonts w:ascii="MetaBold-Roman" w:eastAsia="Arial Unicode MS" w:hAnsi="MetaBold-Roman" w:cs="Arial"/>
      <w:color w:val="auto"/>
      <w:sz w:val="20"/>
      <w:szCs w:val="20"/>
      <w:u w:val="none"/>
      <w:vertAlign w:val="superscript"/>
    </w:rPr>
  </w:style>
  <w:style w:type="character" w:customStyle="1" w:styleId="EndnoteTextChar">
    <w:name w:val="Endnote Text Char"/>
    <w:aliases w:val="2_G Char"/>
    <w:link w:val="EndnoteText"/>
    <w:uiPriority w:val="99"/>
    <w:rsid w:val="00936F32"/>
    <w:rPr>
      <w:sz w:val="18"/>
      <w:lang w:eastAsia="en-US"/>
    </w:rPr>
  </w:style>
  <w:style w:type="paragraph" w:customStyle="1" w:styleId="MediumGrid21">
    <w:name w:val="Medium Grid 21"/>
    <w:uiPriority w:val="1"/>
    <w:qFormat/>
    <w:rsid w:val="00936F32"/>
    <w:rPr>
      <w:rFonts w:ascii="Calibri" w:eastAsia="Calibri" w:hAnsi="Calibri"/>
      <w:sz w:val="22"/>
      <w:szCs w:val="22"/>
      <w:lang w:val="en-GB"/>
    </w:rPr>
  </w:style>
  <w:style w:type="character" w:customStyle="1" w:styleId="SubtleEmphasis1">
    <w:name w:val="Subtle Emphasis1"/>
    <w:uiPriority w:val="19"/>
    <w:qFormat/>
    <w:rsid w:val="00936F32"/>
    <w:rPr>
      <w:i/>
      <w:iCs/>
      <w:color w:val="808080"/>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Points Char,MAIN CONTENT Char,L Char"/>
    <w:link w:val="ColorfulList-Accent11"/>
    <w:uiPriority w:val="34"/>
    <w:qFormat/>
    <w:locked/>
    <w:rsid w:val="00936F32"/>
    <w:rPr>
      <w:rFonts w:ascii="Calibri" w:eastAsia="Calibri" w:hAnsi="Calibri"/>
      <w:sz w:val="22"/>
      <w:szCs w:val="22"/>
      <w:lang w:eastAsia="en-US"/>
    </w:rPr>
  </w:style>
  <w:style w:type="character" w:customStyle="1" w:styleId="tgc">
    <w:name w:val="_tgc"/>
    <w:rsid w:val="00936F32"/>
  </w:style>
  <w:style w:type="character" w:customStyle="1" w:styleId="highlight1">
    <w:name w:val="highlight1"/>
    <w:rsid w:val="00936F32"/>
    <w:rPr>
      <w:shd w:val="clear" w:color="auto" w:fill="FFCC33"/>
    </w:rPr>
  </w:style>
  <w:style w:type="paragraph" w:customStyle="1" w:styleId="Normal1">
    <w:name w:val="Normal1"/>
    <w:rsid w:val="00936F32"/>
    <w:pPr>
      <w:spacing w:line="276" w:lineRule="auto"/>
    </w:pPr>
    <w:rPr>
      <w:rFonts w:ascii="Arial" w:eastAsia="Arial" w:hAnsi="Arial" w:cs="Arial"/>
      <w:color w:val="000000"/>
      <w:sz w:val="22"/>
      <w:lang w:val="nb-NO" w:eastAsia="nb-NO"/>
    </w:rPr>
  </w:style>
  <w:style w:type="paragraph" w:customStyle="1" w:styleId="Body">
    <w:name w:val="Body"/>
    <w:rsid w:val="00936F32"/>
    <w:pPr>
      <w:spacing w:line="264" w:lineRule="auto"/>
      <w:ind w:firstLine="360"/>
      <w:outlineLvl w:val="0"/>
    </w:pPr>
    <w:rPr>
      <w:rFonts w:ascii="Baskerville" w:eastAsia="ヒラギノ角ゴ Pro W3" w:hAnsi="Baskerville"/>
      <w:color w:val="000000"/>
    </w:rPr>
  </w:style>
  <w:style w:type="numbering" w:customStyle="1" w:styleId="NoList3">
    <w:name w:val="No List3"/>
    <w:next w:val="NoList"/>
    <w:uiPriority w:val="99"/>
    <w:semiHidden/>
    <w:unhideWhenUsed/>
    <w:rsid w:val="00B2489C"/>
  </w:style>
  <w:style w:type="character" w:customStyle="1" w:styleId="Heading2Char">
    <w:name w:val="Heading 2 Char"/>
    <w:link w:val="Heading2"/>
    <w:uiPriority w:val="9"/>
    <w:rsid w:val="00B2489C"/>
    <w:rPr>
      <w:lang w:eastAsia="en-US"/>
    </w:rPr>
  </w:style>
  <w:style w:type="character" w:customStyle="1" w:styleId="Heading3Char">
    <w:name w:val="Heading 3 Char"/>
    <w:link w:val="Heading3"/>
    <w:rsid w:val="00B2489C"/>
    <w:rPr>
      <w:lang w:eastAsia="en-US"/>
    </w:rPr>
  </w:style>
  <w:style w:type="character" w:customStyle="1" w:styleId="Heading4Char">
    <w:name w:val="Heading 4 Char"/>
    <w:link w:val="Heading4"/>
    <w:rsid w:val="00B2489C"/>
    <w:rPr>
      <w:lang w:eastAsia="en-US"/>
    </w:rPr>
  </w:style>
  <w:style w:type="character" w:customStyle="1" w:styleId="Heading5Char">
    <w:name w:val="Heading 5 Char"/>
    <w:link w:val="Heading5"/>
    <w:rsid w:val="00B2489C"/>
    <w:rPr>
      <w:lang w:eastAsia="en-US"/>
    </w:rPr>
  </w:style>
  <w:style w:type="character" w:customStyle="1" w:styleId="Heading6Char">
    <w:name w:val="Heading 6 Char"/>
    <w:link w:val="Heading6"/>
    <w:rsid w:val="00B2489C"/>
    <w:rPr>
      <w:lang w:eastAsia="en-US"/>
    </w:rPr>
  </w:style>
  <w:style w:type="character" w:customStyle="1" w:styleId="Heading7Char">
    <w:name w:val="Heading 7 Char"/>
    <w:link w:val="Heading7"/>
    <w:rsid w:val="00B2489C"/>
    <w:rPr>
      <w:lang w:eastAsia="en-US"/>
    </w:rPr>
  </w:style>
  <w:style w:type="character" w:customStyle="1" w:styleId="Heading8Char">
    <w:name w:val="Heading 8 Char"/>
    <w:link w:val="Heading8"/>
    <w:rsid w:val="00B2489C"/>
    <w:rPr>
      <w:lang w:eastAsia="en-US"/>
    </w:rPr>
  </w:style>
  <w:style w:type="character" w:customStyle="1" w:styleId="Heading9Char">
    <w:name w:val="Heading 9 Char"/>
    <w:link w:val="Heading9"/>
    <w:rsid w:val="00B2489C"/>
    <w:rPr>
      <w:lang w:eastAsia="en-US"/>
    </w:rPr>
  </w:style>
  <w:style w:type="paragraph" w:styleId="MacroText">
    <w:name w:val="macro"/>
    <w:link w:val="MacroTextChar"/>
    <w:rsid w:val="00B2489C"/>
    <w:pPr>
      <w:tabs>
        <w:tab w:val="left" w:pos="480"/>
        <w:tab w:val="left" w:pos="960"/>
        <w:tab w:val="left" w:pos="1440"/>
        <w:tab w:val="left" w:pos="1920"/>
        <w:tab w:val="left" w:pos="2400"/>
        <w:tab w:val="left" w:pos="2880"/>
        <w:tab w:val="left" w:pos="3360"/>
        <w:tab w:val="left" w:pos="3840"/>
        <w:tab w:val="left" w:pos="4320"/>
      </w:tabs>
      <w:contextualSpacing/>
    </w:pPr>
    <w:rPr>
      <w:rFonts w:ascii="Courier New" w:eastAsia="Calibri" w:hAnsi="Courier New"/>
      <w:noProof/>
      <w:sz w:val="24"/>
      <w:szCs w:val="24"/>
      <w:lang w:eastAsia="zh-CN"/>
    </w:rPr>
  </w:style>
  <w:style w:type="character" w:customStyle="1" w:styleId="MacroTextChar">
    <w:name w:val="Macro Text Char"/>
    <w:link w:val="MacroText"/>
    <w:rsid w:val="00B2489C"/>
    <w:rPr>
      <w:rFonts w:ascii="Courier New" w:eastAsia="Calibri" w:hAnsi="Courier New"/>
      <w:noProof/>
      <w:sz w:val="24"/>
      <w:szCs w:val="24"/>
      <w:lang w:val="en-US" w:eastAsia="zh-CN" w:bidi="ar-SA"/>
    </w:rPr>
  </w:style>
  <w:style w:type="paragraph" w:customStyle="1" w:styleId="DocID">
    <w:name w:val="DocID"/>
    <w:basedOn w:val="Normal"/>
    <w:rsid w:val="00B2489C"/>
    <w:pPr>
      <w:suppressAutoHyphens w:val="0"/>
      <w:spacing w:line="240" w:lineRule="auto"/>
    </w:pPr>
    <w:rPr>
      <w:rFonts w:eastAsia="SimSun"/>
      <w:sz w:val="16"/>
      <w:szCs w:val="22"/>
      <w:lang w:val="en-US" w:eastAsia="zh-CN"/>
    </w:rPr>
  </w:style>
  <w:style w:type="paragraph" w:customStyle="1" w:styleId="R1Para1S">
    <w:name w:val="R1 Para 1&quot; S"/>
    <w:basedOn w:val="Normal"/>
    <w:rsid w:val="00B2489C"/>
    <w:pPr>
      <w:suppressAutoHyphens w:val="0"/>
      <w:spacing w:after="240" w:line="240" w:lineRule="auto"/>
      <w:ind w:firstLine="1440"/>
    </w:pPr>
    <w:rPr>
      <w:sz w:val="24"/>
      <w:szCs w:val="24"/>
      <w:lang w:val="en-US" w:eastAsia="zh-CN"/>
    </w:rPr>
  </w:style>
  <w:style w:type="paragraph" w:customStyle="1" w:styleId="R2Para1D">
    <w:name w:val="R2 Para 1&quot; D"/>
    <w:basedOn w:val="Normal"/>
    <w:rsid w:val="00B2489C"/>
    <w:pPr>
      <w:suppressAutoHyphens w:val="0"/>
      <w:spacing w:line="480" w:lineRule="auto"/>
      <w:ind w:firstLine="1440"/>
    </w:pPr>
    <w:rPr>
      <w:sz w:val="24"/>
      <w:szCs w:val="24"/>
      <w:lang w:val="en-US" w:eastAsia="zh-CN"/>
    </w:rPr>
  </w:style>
  <w:style w:type="paragraph" w:customStyle="1" w:styleId="RBBasic">
    <w:name w:val="RB Basic"/>
    <w:basedOn w:val="Normal"/>
    <w:rsid w:val="00B2489C"/>
    <w:pPr>
      <w:suppressAutoHyphens w:val="0"/>
      <w:spacing w:after="240" w:line="240" w:lineRule="auto"/>
    </w:pPr>
    <w:rPr>
      <w:sz w:val="24"/>
      <w:szCs w:val="24"/>
      <w:lang w:val="en-US" w:eastAsia="zh-CN"/>
    </w:rPr>
  </w:style>
  <w:style w:type="paragraph" w:customStyle="1" w:styleId="RBNBasicNoSpace">
    <w:name w:val="RBN Basic No Space"/>
    <w:basedOn w:val="Normal"/>
    <w:rsid w:val="00B2489C"/>
    <w:pPr>
      <w:suppressAutoHyphens w:val="0"/>
      <w:spacing w:line="240" w:lineRule="auto"/>
    </w:pPr>
    <w:rPr>
      <w:rFonts w:eastAsia="SimSun"/>
      <w:sz w:val="24"/>
      <w:szCs w:val="22"/>
      <w:lang w:val="en-US" w:eastAsia="zh-CN"/>
    </w:rPr>
  </w:style>
  <w:style w:type="paragraph" w:customStyle="1" w:styleId="RHPara11-12">
    <w:name w:val="RH Para  1&quot; 1-1/2"/>
    <w:basedOn w:val="Normal"/>
    <w:rsid w:val="00B2489C"/>
    <w:pPr>
      <w:suppressAutoHyphens w:val="0"/>
      <w:spacing w:line="360" w:lineRule="auto"/>
      <w:ind w:firstLine="1440"/>
    </w:pPr>
    <w:rPr>
      <w:sz w:val="24"/>
      <w:szCs w:val="24"/>
      <w:lang w:val="en-US" w:eastAsia="zh-CN"/>
    </w:rPr>
  </w:style>
  <w:style w:type="paragraph" w:customStyle="1" w:styleId="RHDPara12D">
    <w:name w:val="RHD Para 1/2&quot; D"/>
    <w:basedOn w:val="Normal"/>
    <w:rsid w:val="00B2489C"/>
    <w:pPr>
      <w:suppressAutoHyphens w:val="0"/>
      <w:spacing w:line="480" w:lineRule="auto"/>
      <w:ind w:firstLine="720"/>
    </w:pPr>
    <w:rPr>
      <w:sz w:val="24"/>
      <w:szCs w:val="24"/>
      <w:lang w:val="en-US" w:eastAsia="zh-CN"/>
    </w:rPr>
  </w:style>
  <w:style w:type="paragraph" w:customStyle="1" w:styleId="RHHPara121-12">
    <w:name w:val="RHH Para 1/2&quot; 1-1/2"/>
    <w:basedOn w:val="Normal"/>
    <w:rsid w:val="00B2489C"/>
    <w:pPr>
      <w:suppressAutoHyphens w:val="0"/>
      <w:spacing w:line="360" w:lineRule="auto"/>
      <w:ind w:firstLine="720"/>
    </w:pPr>
    <w:rPr>
      <w:rFonts w:eastAsia="SimSun"/>
      <w:sz w:val="24"/>
      <w:szCs w:val="22"/>
      <w:lang w:val="en-US" w:eastAsia="zh-CN"/>
    </w:rPr>
  </w:style>
  <w:style w:type="paragraph" w:customStyle="1" w:styleId="RHSPara12S">
    <w:name w:val="RHS Para 1/2&quot; S"/>
    <w:basedOn w:val="Normal"/>
    <w:rsid w:val="00B2489C"/>
    <w:pPr>
      <w:suppressAutoHyphens w:val="0"/>
      <w:spacing w:after="240" w:line="240" w:lineRule="auto"/>
      <w:ind w:firstLine="720"/>
    </w:pPr>
    <w:rPr>
      <w:sz w:val="24"/>
      <w:szCs w:val="24"/>
      <w:lang w:val="en-US" w:eastAsia="zh-CN"/>
    </w:rPr>
  </w:style>
  <w:style w:type="character" w:customStyle="1" w:styleId="RibItalicBold">
    <w:name w:val="Rib ItalicBold"/>
    <w:rsid w:val="00B2489C"/>
    <w:rPr>
      <w:b/>
      <w:i/>
    </w:rPr>
  </w:style>
  <w:style w:type="paragraph" w:customStyle="1" w:styleId="RNDParaNoIndD">
    <w:name w:val="RND Para No Ind D"/>
    <w:basedOn w:val="Normal"/>
    <w:rsid w:val="00B2489C"/>
    <w:pPr>
      <w:suppressAutoHyphens w:val="0"/>
      <w:spacing w:line="480" w:lineRule="auto"/>
    </w:pPr>
    <w:rPr>
      <w:sz w:val="24"/>
      <w:szCs w:val="24"/>
      <w:lang w:val="en-US" w:eastAsia="zh-CN"/>
    </w:rPr>
  </w:style>
  <w:style w:type="paragraph" w:customStyle="1" w:styleId="RNHParaNoIndH">
    <w:name w:val="RNH Para No Ind H"/>
    <w:basedOn w:val="Normal"/>
    <w:rsid w:val="00B2489C"/>
    <w:pPr>
      <w:suppressAutoHyphens w:val="0"/>
      <w:spacing w:line="360" w:lineRule="auto"/>
    </w:pPr>
    <w:rPr>
      <w:rFonts w:eastAsia="SimSun"/>
      <w:sz w:val="24"/>
      <w:szCs w:val="22"/>
      <w:lang w:val="en-US" w:eastAsia="zh-CN"/>
    </w:rPr>
  </w:style>
  <w:style w:type="paragraph" w:customStyle="1" w:styleId="RNSParaNoIndS">
    <w:name w:val="RNS Para No Ind S"/>
    <w:basedOn w:val="Normal"/>
    <w:rsid w:val="00B2489C"/>
    <w:pPr>
      <w:suppressAutoHyphens w:val="0"/>
      <w:spacing w:after="240" w:line="240" w:lineRule="auto"/>
    </w:pPr>
    <w:rPr>
      <w:sz w:val="24"/>
      <w:szCs w:val="24"/>
      <w:lang w:val="en-US" w:eastAsia="zh-CN"/>
    </w:rPr>
  </w:style>
  <w:style w:type="paragraph" w:customStyle="1" w:styleId="RQBlockQuote">
    <w:name w:val="RQ Block Quote"/>
    <w:basedOn w:val="Normal"/>
    <w:next w:val="Normal"/>
    <w:rsid w:val="00B2489C"/>
    <w:pPr>
      <w:suppressAutoHyphens w:val="0"/>
      <w:spacing w:after="240" w:line="240" w:lineRule="auto"/>
      <w:ind w:left="1440" w:right="1440"/>
    </w:pPr>
    <w:rPr>
      <w:sz w:val="24"/>
      <w:szCs w:val="24"/>
      <w:lang w:val="en-US" w:eastAsia="zh-CN"/>
    </w:rPr>
  </w:style>
  <w:style w:type="paragraph" w:customStyle="1" w:styleId="RQIBlockQuInd">
    <w:name w:val="RQI Block Qu Ind"/>
    <w:basedOn w:val="Normal"/>
    <w:rsid w:val="00B2489C"/>
    <w:pPr>
      <w:suppressAutoHyphens w:val="0"/>
      <w:spacing w:after="240" w:line="240" w:lineRule="auto"/>
      <w:ind w:left="1440" w:right="1440" w:firstLine="720"/>
    </w:pPr>
    <w:rPr>
      <w:sz w:val="24"/>
      <w:szCs w:val="24"/>
      <w:lang w:val="en-US" w:eastAsia="zh-CN"/>
    </w:rPr>
  </w:style>
  <w:style w:type="paragraph" w:customStyle="1" w:styleId="RSBSubtitle">
    <w:name w:val="RSB Subtitle"/>
    <w:basedOn w:val="Normal"/>
    <w:next w:val="R2Para1D"/>
    <w:rsid w:val="00B2489C"/>
    <w:pPr>
      <w:keepNext/>
      <w:keepLines/>
      <w:suppressAutoHyphens w:val="0"/>
      <w:spacing w:after="240" w:line="240" w:lineRule="auto"/>
    </w:pPr>
    <w:rPr>
      <w:b/>
      <w:sz w:val="24"/>
      <w:szCs w:val="24"/>
      <w:lang w:val="en-US" w:eastAsia="zh-CN"/>
    </w:rPr>
  </w:style>
  <w:style w:type="paragraph" w:customStyle="1" w:styleId="RSUSubtitle">
    <w:name w:val="RSU Subtitle"/>
    <w:basedOn w:val="Normal"/>
    <w:next w:val="RHDPara12D"/>
    <w:rsid w:val="00B2489C"/>
    <w:pPr>
      <w:keepNext/>
      <w:keepLines/>
      <w:suppressAutoHyphens w:val="0"/>
      <w:spacing w:after="240" w:line="240" w:lineRule="auto"/>
    </w:pPr>
    <w:rPr>
      <w:sz w:val="24"/>
      <w:szCs w:val="24"/>
      <w:u w:val="single"/>
      <w:lang w:val="en-US" w:eastAsia="zh-CN"/>
    </w:rPr>
  </w:style>
  <w:style w:type="paragraph" w:customStyle="1" w:styleId="RTTitle">
    <w:name w:val="RT Title"/>
    <w:basedOn w:val="Normal"/>
    <w:next w:val="RSBSubtitle"/>
    <w:rsid w:val="00B2489C"/>
    <w:pPr>
      <w:keepNext/>
      <w:keepLines/>
      <w:suppressAutoHyphens w:val="0"/>
      <w:spacing w:after="240" w:line="240" w:lineRule="auto"/>
      <w:jc w:val="center"/>
    </w:pPr>
    <w:rPr>
      <w:rFonts w:eastAsia="SimSun"/>
      <w:caps/>
      <w:sz w:val="24"/>
      <w:szCs w:val="22"/>
      <w:lang w:val="en-US" w:eastAsia="zh-CN"/>
    </w:rPr>
  </w:style>
  <w:style w:type="paragraph" w:customStyle="1" w:styleId="RTaPTblPara">
    <w:name w:val="RTaP Tbl Para"/>
    <w:basedOn w:val="Normal"/>
    <w:rsid w:val="00B2489C"/>
    <w:pPr>
      <w:suppressAutoHyphens w:val="0"/>
      <w:spacing w:after="60" w:line="240" w:lineRule="auto"/>
    </w:pPr>
    <w:rPr>
      <w:sz w:val="24"/>
      <w:szCs w:val="24"/>
      <w:lang w:val="en-US" w:eastAsia="zh-CN"/>
    </w:rPr>
  </w:style>
  <w:style w:type="paragraph" w:customStyle="1" w:styleId="RTBTitle">
    <w:name w:val="RTB Title"/>
    <w:basedOn w:val="Normal"/>
    <w:next w:val="RSBSubtitle"/>
    <w:rsid w:val="00B2489C"/>
    <w:pPr>
      <w:keepNext/>
      <w:keepLines/>
      <w:suppressAutoHyphens w:val="0"/>
      <w:spacing w:after="240" w:line="240" w:lineRule="auto"/>
      <w:jc w:val="center"/>
    </w:pPr>
    <w:rPr>
      <w:b/>
      <w:caps/>
      <w:sz w:val="24"/>
      <w:szCs w:val="24"/>
      <w:lang w:val="en-US" w:eastAsia="zh-CN"/>
    </w:rPr>
  </w:style>
  <w:style w:type="paragraph" w:customStyle="1" w:styleId="RTHTblHead">
    <w:name w:val="RTH Tbl Head"/>
    <w:basedOn w:val="Normal"/>
    <w:rsid w:val="00B2489C"/>
    <w:pPr>
      <w:suppressAutoHyphens w:val="0"/>
      <w:spacing w:before="180" w:after="180" w:line="240" w:lineRule="auto"/>
      <w:jc w:val="center"/>
    </w:pPr>
    <w:rPr>
      <w:b/>
      <w:bCs/>
      <w:sz w:val="24"/>
      <w:szCs w:val="24"/>
      <w:lang w:val="en-US" w:eastAsia="zh-CN"/>
    </w:rPr>
  </w:style>
  <w:style w:type="paragraph" w:customStyle="1" w:styleId="RTOCTitle">
    <w:name w:val="RTOC Title"/>
    <w:basedOn w:val="Normal"/>
    <w:next w:val="RTPTOCPage"/>
    <w:rsid w:val="00B2489C"/>
    <w:pPr>
      <w:suppressAutoHyphens w:val="0"/>
      <w:spacing w:after="360" w:line="240" w:lineRule="auto"/>
      <w:jc w:val="center"/>
    </w:pPr>
    <w:rPr>
      <w:b/>
      <w:caps/>
      <w:sz w:val="24"/>
      <w:szCs w:val="24"/>
      <w:lang w:val="en-US" w:eastAsia="zh-CN"/>
    </w:rPr>
  </w:style>
  <w:style w:type="paragraph" w:customStyle="1" w:styleId="RTPTOCPage">
    <w:name w:val="RTP TOC Page"/>
    <w:basedOn w:val="Normal"/>
    <w:next w:val="RNSParaNoIndS"/>
    <w:rsid w:val="00B2489C"/>
    <w:pPr>
      <w:tabs>
        <w:tab w:val="right" w:pos="9360"/>
      </w:tabs>
      <w:suppressAutoHyphens w:val="0"/>
      <w:spacing w:after="240" w:line="240" w:lineRule="auto"/>
      <w:jc w:val="right"/>
    </w:pPr>
    <w:rPr>
      <w:b/>
      <w:sz w:val="24"/>
      <w:szCs w:val="24"/>
      <w:lang w:val="en-US" w:eastAsia="zh-CN"/>
    </w:rPr>
  </w:style>
  <w:style w:type="table" w:customStyle="1" w:styleId="TableGrid1">
    <w:name w:val="Table Grid1"/>
    <w:basedOn w:val="TableNormal"/>
    <w:next w:val="TableGrid"/>
    <w:rsid w:val="00B2489C"/>
    <w:rPr>
      <w:rFonts w:eastAsia="SimSu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3" w:type="dxa"/>
        <w:bottom w:w="0" w:type="dxa"/>
        <w:right w:w="43" w:type="dxa"/>
      </w:tblCellMar>
    </w:tblPr>
    <w:trPr>
      <w:tblHeader/>
    </w:trPr>
  </w:style>
  <w:style w:type="paragraph" w:customStyle="1" w:styleId="PapNum">
    <w:name w:val="Pap Num"/>
    <w:basedOn w:val="Normal"/>
    <w:rsid w:val="00B2489C"/>
    <w:pPr>
      <w:suppressAutoHyphens w:val="0"/>
      <w:spacing w:line="240" w:lineRule="auto"/>
    </w:pPr>
    <w:rPr>
      <w:sz w:val="24"/>
      <w:szCs w:val="24"/>
      <w:lang w:val="en-US" w:eastAsia="zh-CN"/>
    </w:rPr>
  </w:style>
  <w:style w:type="paragraph" w:customStyle="1" w:styleId="RSBCSubCtr">
    <w:name w:val="RSBC Sub Ctr"/>
    <w:basedOn w:val="Normal"/>
    <w:next w:val="RHDPara12D"/>
    <w:rsid w:val="00B2489C"/>
    <w:pPr>
      <w:keepNext/>
      <w:keepLines/>
      <w:suppressAutoHyphens w:val="0"/>
      <w:spacing w:after="240" w:line="240" w:lineRule="auto"/>
      <w:jc w:val="center"/>
    </w:pPr>
    <w:rPr>
      <w:rFonts w:eastAsia="Calibri"/>
      <w:b/>
      <w:sz w:val="24"/>
      <w:szCs w:val="22"/>
      <w:lang w:val="en-US"/>
    </w:rPr>
  </w:style>
  <w:style w:type="paragraph" w:customStyle="1" w:styleId="RSBUSubUnd">
    <w:name w:val="RSBU Sub Und"/>
    <w:basedOn w:val="RSBSubtitle"/>
    <w:next w:val="Normal"/>
    <w:rsid w:val="00B2489C"/>
    <w:pPr>
      <w:jc w:val="both"/>
    </w:pPr>
    <w:rPr>
      <w:u w:val="single"/>
      <w:lang w:eastAsia="en-US"/>
    </w:rPr>
  </w:style>
  <w:style w:type="paragraph" w:customStyle="1" w:styleId="RSCUSubCtrUnd">
    <w:name w:val="RSCU Sub Ctr Und"/>
    <w:basedOn w:val="RSBCSubCtr"/>
    <w:next w:val="RHDPara12D"/>
    <w:rsid w:val="00B2489C"/>
    <w:rPr>
      <w:u w:val="single"/>
    </w:rPr>
  </w:style>
  <w:style w:type="character" w:customStyle="1" w:styleId="s7d2086b4">
    <w:name w:val="s7d2086b4"/>
    <w:rsid w:val="00B2489C"/>
  </w:style>
  <w:style w:type="character" w:customStyle="1" w:styleId="s6b621b36">
    <w:name w:val="s6b621b36"/>
    <w:rsid w:val="00B2489C"/>
  </w:style>
  <w:style w:type="character" w:customStyle="1" w:styleId="SingleTxtGCar">
    <w:name w:val="_ Single Txt_G Car"/>
    <w:rsid w:val="00B2489C"/>
    <w:rPr>
      <w:rFonts w:eastAsia="Malgun Gothic"/>
      <w:sz w:val="20"/>
      <w:szCs w:val="20"/>
      <w:lang w:val="en-GB"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B2489C"/>
    <w:pPr>
      <w:suppressAutoHyphens w:val="0"/>
      <w:spacing w:after="160" w:line="240" w:lineRule="exact"/>
      <w:jc w:val="both"/>
    </w:pPr>
    <w:rPr>
      <w:sz w:val="18"/>
      <w:vertAlign w:val="superscript"/>
      <w:lang/>
    </w:rPr>
  </w:style>
</w:styles>
</file>

<file path=word/webSettings.xml><?xml version="1.0" encoding="utf-8"?>
<w:webSettings xmlns:r="http://schemas.openxmlformats.org/officeDocument/2006/relationships" xmlns:w="http://schemas.openxmlformats.org/wordprocessingml/2006/main">
  <w:divs>
    <w:div w:id="1366713054">
      <w:bodyDiv w:val="1"/>
      <w:marLeft w:val="0"/>
      <w:marRight w:val="0"/>
      <w:marTop w:val="0"/>
      <w:marBottom w:val="0"/>
      <w:divBdr>
        <w:top w:val="none" w:sz="0" w:space="0" w:color="auto"/>
        <w:left w:val="none" w:sz="0" w:space="0" w:color="auto"/>
        <w:bottom w:val="none" w:sz="0" w:space="0" w:color="auto"/>
        <w:right w:val="none" w:sz="0" w:space="0" w:color="auto"/>
      </w:divBdr>
      <w:divsChild>
        <w:div w:id="114760878">
          <w:marLeft w:val="0"/>
          <w:marRight w:val="0"/>
          <w:marTop w:val="0"/>
          <w:marBottom w:val="0"/>
          <w:divBdr>
            <w:top w:val="none" w:sz="0" w:space="0" w:color="auto"/>
            <w:left w:val="none" w:sz="0" w:space="0" w:color="auto"/>
            <w:bottom w:val="none" w:sz="0" w:space="0" w:color="auto"/>
            <w:right w:val="none" w:sz="0" w:space="0" w:color="auto"/>
          </w:divBdr>
          <w:divsChild>
            <w:div w:id="1753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parl.europa.eu/oeil/popups/ficheprocedure.do?lang=en&amp;reference=2013/2183(IN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124a9a2a17c97a6653109b2add026af9">
  <xsd:schema xmlns:xsd="http://www.w3.org/2001/XMLSchema" xmlns:p="http://schemas.microsoft.com/office/2006/metadata/properties" xmlns:ns1="http://schemas.microsoft.com/sharepoint/v3" targetNamespace="http://schemas.microsoft.com/office/2006/metadata/properties" ma:root="true" ma:fieldsID="58d55eeed89856204e4e59aad6da867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278E-900D-426E-BD6D-8F39F7FA3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D7DE9B-A5FA-4391-BDB3-0483141334C2}">
  <ds:schemaRefs>
    <ds:schemaRef ds:uri="http://schemas.microsoft.com/office/2006/metadata/longProperties"/>
  </ds:schemaRefs>
</ds:datastoreItem>
</file>

<file path=customXml/itemProps3.xml><?xml version="1.0" encoding="utf-8"?>
<ds:datastoreItem xmlns:ds="http://schemas.openxmlformats.org/officeDocument/2006/customXml" ds:itemID="{8782D2A7-FE09-4F2C-925B-F6E4DB3C82A1}">
  <ds:schemaRefs>
    <ds:schemaRef ds:uri="http://schemas.microsoft.com/sharepoint/v3/contenttype/forms"/>
  </ds:schemaRefs>
</ds:datastoreItem>
</file>

<file path=customXml/itemProps4.xml><?xml version="1.0" encoding="utf-8"?>
<ds:datastoreItem xmlns:ds="http://schemas.openxmlformats.org/officeDocument/2006/customXml" ds:itemID="{DE2DDFD3-3E75-4999-8B65-B42E33141677}">
  <ds:schemaRefs>
    <ds:schemaRef ds:uri="http://schemas.microsoft.com/office/2006/metadata/properties"/>
  </ds:schemaRefs>
</ds:datastoreItem>
</file>

<file path=customXml/itemProps5.xml><?xml version="1.0" encoding="utf-8"?>
<ds:datastoreItem xmlns:ds="http://schemas.openxmlformats.org/officeDocument/2006/customXml" ds:itemID="{77B00FEF-D497-41EC-B09A-797B78ED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8020</Words>
  <Characters>45715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53628</CharactersWithSpaces>
  <SharedDoc>false</SharedDoc>
  <HyperlinkBase/>
  <HLinks>
    <vt:vector size="18" baseType="variant">
      <vt:variant>
        <vt:i4>6225935</vt:i4>
      </vt:variant>
      <vt:variant>
        <vt:i4>0</vt:i4>
      </vt:variant>
      <vt:variant>
        <vt:i4>0</vt:i4>
      </vt:variant>
      <vt:variant>
        <vt:i4>5</vt:i4>
      </vt:variant>
      <vt:variant>
        <vt:lpwstr>http://www.europarl.europa.eu/oeil/popups/ficheprocedure.do?lang=en&amp;reference=2013/2183(INI)</vt:lpwstr>
      </vt:variant>
      <vt:variant>
        <vt:lpwstr/>
      </vt:variant>
      <vt:variant>
        <vt:i4>5963861</vt:i4>
      </vt:variant>
      <vt:variant>
        <vt:i4>3</vt:i4>
      </vt:variant>
      <vt:variant>
        <vt:i4>0</vt:i4>
      </vt:variant>
      <vt:variant>
        <vt:i4>5</vt:i4>
      </vt:variant>
      <vt:variant>
        <vt:lpwstr>http://hudoc.echr.coe.int/sites/eng/pages/search.aspx</vt:lpwstr>
      </vt:variant>
      <vt:variant>
        <vt:lpwstr>{"appno":["32684/09"]}</vt:lpwstr>
      </vt:variant>
      <vt:variant>
        <vt:i4>5898334</vt:i4>
      </vt:variant>
      <vt:variant>
        <vt:i4>0</vt:i4>
      </vt:variant>
      <vt:variant>
        <vt:i4>0</vt:i4>
      </vt:variant>
      <vt:variant>
        <vt:i4>5</vt:i4>
      </vt:variant>
      <vt:variant>
        <vt:lpwstr>http://hudoc.echr.coe.int/sites/eng/pages/search.aspx</vt:lpwstr>
      </vt:variant>
      <vt:variant>
        <vt:lpwstr>{"appno":["29381/09"]}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report A/HRC/19/41 (on discriminatory laws and practices and acts of violence against individuals based on their sexual orientation and gender identity) in English</dc:title>
  <dc:creator>agrabovac</dc:creator>
  <cp:lastModifiedBy>itfsa</cp:lastModifiedBy>
  <cp:revision>2</cp:revision>
  <cp:lastPrinted>2015-05-05T15:56:00Z</cp:lastPrinted>
  <dcterms:created xsi:type="dcterms:W3CDTF">2015-06-15T20:53:00Z</dcterms:created>
  <dcterms:modified xsi:type="dcterms:W3CDTF">2015-06-15T20:53:00Z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